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2C_635/2017 vom 20. Juli 2017</w:t>
      </w:r>
    </w:p>
    <w:p>
      <w:r>
        <w:t>Bundesgericht, 2017-07-20, DE</w:t>
      </w:r>
    </w:p>
    <w:p>
      <w:r>
        <w:rPr>
          <w:b/>
        </w:rPr>
        <w:t xml:space="preserve">Quelle: </w:t>
      </w:r>
      <w:r>
        <w:t>https://mcp.opencaselaw.ch/entscheid/bger_2C_635_2017</w:t>
      </w:r>
    </w:p>
    <w:p>
      <w:r>
        <w:t>FR: TF 2C_635/2017 du 20 juillet 2017</w:t>
      </w:r>
    </w:p>
    <w:p>
      <w:r>
        <w:t>IT: TF 2C_635/2017 del 20 luglio 2017</w:t>
      </w:r>
    </w:p>
    <w:p>
      <w:pPr>
        <w:pStyle w:val="Heading2"/>
      </w:pPr>
      <w:r>
        <w:t>Erwägungen</w:t>
      </w:r>
    </w:p>
    <w:p>
      <w:r>
        <w:rPr>
          <w:b/>
        </w:rPr>
        <w:t>E. 1.1</w:t>
      </w:r>
    </w:p>
    <w:p>
      <w:r>
        <w:t>Die Beschwerde an das Bundesgericht ist zulässig gegen End- und Teilentscheide ( Art. 90 und 91 BGG ), gegen Zwischenentscheide hingegen nur unter bestimmten Voraussetzungen ( Art. 92 und 93 BGG ). Art. 92 Abs. 1 BGG lässt die Beschwerde zu gegen selbstständig eröffnete Vor- und Zwischenentscheide über die Zuständigkeit und über Ausstandsbegehren. Gemäss Art. 93 Abs. 1 BGG ist die Beschwerde gegen andere selbstständig eröffnete Zwischenentscheide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nach Art. 93 Abs. 1 BGG nicht zulässig oder wurde von ihr kein Gebrauch gemacht, so sind die betreffenden Vor- oder Zwischenentscheide durch Beschwerde gegen den Endentscheid anfechtbar, soweit sie sich auf dessen Inhalt auswirken ( Art. 93 Abs. 3 BGG ).</w:t>
      </w:r>
    </w:p>
    <w:p>
      <w:r>
        <w:rPr>
          <w:b/>
        </w:rPr>
        <w:t>E. 1.2</w:t>
      </w:r>
    </w:p>
    <w:p>
      <w:r>
        <w:t>Vor Verwaltungsgericht angefochten war ein Entscheid der Verwaltungsrekurskommission über die Sistierung von einem dort hängigen Verfahren und über die vorweg Behandlung des anderen Verfahrens. Der Sistierungsentscheid ist ein Zwischenentscheid. Der Entscheid des Verwaltungsgerichts darüber erweist sich insofern seinerseits als Zwischenentscheid (s. etwa Urteil 2C_443/2013 und 2C_444/2013 vom 14. Mai 2013 E. 2.2)</w:t>
      </w:r>
    </w:p>
    <w:p>
      <w:r>
        <w:t>Zwischenentscheid ist der Entscheid des Verwaltungsgerichts sodann auch insoweit, als er die Sache (zur Prüfung des Ausstandsbegehrens) an seine Vorinstanz zurückweist; Rückweisungsentscheide sind Zwischenentscheide ( BGE 134 II 124 E. 1.3 S. 127; 133 V 477 E. 4 S. 480-482). Zwar beantragt der Beschwerdeführer die Aufhebung des verwaltungsgerichtlichen Entscheids als Ganzes. Indessen wird in der Begründung nicht geltend gemacht, dass das Verwaltungsgericht mit dieser Rückweisung der Ausstandsfrage schweizerisches Recht verletzt habe. In diesem Punkt soll sichtlich nicht Beschwerde geführt werden.</w:t>
      </w:r>
    </w:p>
    <w:p>
      <w:r>
        <w:t>Zu prüfen ist einzig, ob dem Beschwerdeführer dadurch, dass das Verwaltungsgericht den Sistierungsentscheid bestätigt hat, nicht wieder gutzumachende Nachteile im Sinne von Art. 93 Abs. 1 lit. a BGG entstehen können. Im Übrigen bliebe auch beim Eintreten auf die Beschwerde ausschliesslich zu prüfen, ob das Verwaltungsgericht bei der - vom Beschwerdeführer nicht bemängelten - ersatzweisen Anwendung von Art. 93 BGG als ergänzendes kantonales Recht schweizerisches Recht ( Art. 95 BGG ) verletzt habe (dies allerdings allein unter dem Aspekt verfassungsmässiger Rechte; vgl. BGE 141 I 36 E. 1.3 S. 41 mit Hinweisen).</w:t>
      </w:r>
    </w:p>
    <w:p>
      <w:r>
        <w:rPr>
          <w:b/>
        </w:rPr>
        <w:t>E. 2.1</w:t>
      </w:r>
    </w:p>
    <w:p>
      <w:r>
        <w:t>Ein nicht wieder gutzumachender Nachteil im Sinne von Art. 93 Abs. 1 lit. a BGG liegt dann vor, wenn er auch durch einen für den Beschwerdeführer günstigen späteren Entscheid nicht mehr behoben werden kann (etwa BGE 141 IV 289 E. 1.2 S. 291).</w:t>
      </w:r>
    </w:p>
    <w:p>
      <w:r>
        <w:t>Aufgrund der bestrittenen Sistierungsverfügung der Verwaltungsrekurskommission wird das Verfahren II/2-2016/15 (betreffend den Widerruf der Schätzung vom 2. März 2015/23. Dezember 2015) vorgezogen und das Verfahren II/2-2016/7 bis zu dessen Abschluss sistiert. Von vornherein drohte kein Nachteil im Sinne von Art. 93 Abs. 1 lit. a AuG, wenn der Beschwerdeführer im vorgezogenen Rechtsmittelverfahren II/2-2016/15 obsiegen sollte. Dieser Schätzungsentscheid würde Gegenstand des diesfalls weiterzuführenden Verfahrens II/2-2016/7 bleiben, und sämtliche dort vorgetragenen Rügen würden geprüft. Die Frage eines allfälligen nicht wieder gutzumachenden Nachteils kann sich einzig dann stellen, wenn der Rekurs II/2-2016/15 abgewiesen, es beim Widerruf der Schätzung bleiben und eine neue Schätzung vorgenommen würde.</w:t>
      </w:r>
    </w:p>
    <w:p>
      <w:r>
        <w:rPr>
          <w:b/>
        </w:rPr>
        <w:t>E. 2.2</w:t>
      </w:r>
    </w:p>
    <w:p>
      <w:r>
        <w:t>Der Beschwerdeführer begründet das Vorliegen eines solchen Nachteils bei bestätigtem Widerruf der Schätzung wie folgt:</w:t>
      </w:r>
    </w:p>
    <w:p>
      <w:r>
        <w:t>Falls der Widerruf gutgeheissen würde, sei davon auszugehen, dass das Kantonale Steueramt der neuen Schätzungs-Verfügung den erst nachträglich erfolgten Grundbucheintrag zugrundelege und nicht mehr den Verkaufspreis, der durch den beurkundeten Notar unter Verletzung des Amtsgeheimnisses weitergegeben worden sei; ein solches Vorgehen seitens des kantonalen Steueramtes wäre denn auch konsequent, werde dies doch explizit als Grund für den Widerruf angeführt; in dieser Konstellation bestehe für den Beschwerdeführer ein erhebliches Risiko, dass die im Rahmen der ursprünglichen Verfügung erfolgte Amtsgeheimnisverletzung auch auf dem Rechtsmittelweg nicht mehr gerügt werden könnte; denn insoweit, als dass die neue Verfügung formell korrekt zustande käme, also nicht mehr auf von den Behörden rechtswidrig erlangten Informationen beruhte, wäre der Beschwerdeführer bezüglich des mangelhaften Zustandekommens der ursprünglichen Verfügung wohl nicht mehr beschwert; falls das Verhalten des Kantonalen Steueramtes, das seine ursprüngliche Verfügung auf in rechtswidriger Art und Weise erlangte Informationen stütze, aber einer gerichtlichen Überprüfung nicht mehr zugänglich wäre, würde die Amtsgeheimnisverletzung durch die Sistierung des Hauptverfahrens faktisch geheilt; vor diesem Hintergrund verschlechtere sich die rechtliche Stellung des Beschwerdeführers deutlich, sollte der Antrag auf Sistierung des</w:t>
      </w:r>
    </w:p>
    <w:p>
      <w:r>
        <w:t>Widerrufs verfahrens abgelehnt werden; denn indem dem Kantonalen Steueramt die Möglichkeit eingeräumt werde, eine neue (gültige) Verfügung zu erlassen, werde gleichzeitig das widerrechtliche Vorgehen des Steueramtes geheilt und dem Beschwerdeführer jegliche Möglichkeit entzogen, behördliches Fehlverhalten gerichtlich überprüfen zu lassen.</w:t>
      </w:r>
    </w:p>
    <w:p>
      <w:r>
        <w:t>Der Beschwerdeführer geht mit seiner Argumentation selber davon aus, dass das Kantonale Steueramt im zweiten Umgang zu einem rechtmässigen Schätzungsergebnis kommen bzw. er ein solches durch Ergreifung von Rechtsmitteln gegen den neuen Schätzungsentscheid herbeiführen könnte. Er befürchtet indessen, dass Unregelmässigkeiten im zur ersten Schätzung führenden Schätzungsentscheid nicht mehr gerichtlicher Überprüfung zugänglich wären. Inwiefern ihm dadurch persönlich ein bedeutsamer Nachteil erwachsen sollte, ist nicht ersichtlich: Durch die Verfahrensgestaltung der Verwaltungsrekurskommission wird eine in seinem Interesse stehende inhaltlich korrekte Liegenschaftsschätzung in keiner Weise vereitelt. Das mit seiner Beschwerdeführung verfolgte Anliegen (Erwirken einer gerichtlichen Überprüfung von behördlichem Fehlverhalten) ist weitgehend aufsichtsrechtlicher Natur; entgegen seiner Behauptung ist eine - deutliche - Verschlechterung seiner "rechtlichen Stellung" nicht erkennbar. Er kann im neuen Schätzungsverfahren sämtliche Einwendungen einbringen, die er für rechtlich relevant hält. Sollten die Behörden gewisse Rügen nicht prüfen, weil sie sie für den Ausgang des Verfahrens als irrelevant erachten, stünde es dem Beschwerdeführer frei, im Rechtsmittelverfahren die Relevanz solcher Rügen darzutun und geltend zu machen, dass deren Nichtbehandlung rechtsfehlerhaft sei.</w:t>
      </w:r>
    </w:p>
    <w:p>
      <w:r>
        <w:rPr>
          <w:b/>
        </w:rPr>
        <w:t>E. 2.3</w:t>
      </w:r>
    </w:p>
    <w:p>
      <w:r>
        <w:t>Der angefochtene Entscheid hat für den Beschwerdeführer in keinerlei Hinsicht einen nicht wieder gutzumachender Nachteil im Sinne von Art. 93 Abs. 1 lit. a BGG zur Folge. Die dagegen erhobene Beschwerde ist unzulässig.</w:t>
      </w:r>
    </w:p>
    <w:p>
      <w:r>
        <w:rPr>
          <w:b/>
        </w:rPr>
        <w:t>E. 3</w:t>
      </w:r>
    </w:p>
    <w:p>
      <w:r>
        <w:t>Auf die Beschwerde ist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