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2C_635/2016 vom 17. März 2017</w:t>
      </w:r>
    </w:p>
    <w:p>
      <w:r>
        <w:t>Bundesgericht, 2017-03-17, DE</w:t>
      </w:r>
    </w:p>
    <w:p>
      <w:r>
        <w:rPr>
          <w:b/>
        </w:rPr>
        <w:t xml:space="preserve">Quelle: </w:t>
      </w:r>
      <w:r>
        <w:t>https://mcp.opencaselaw.ch/entscheid/bger_2C_635_2016</w:t>
      </w:r>
    </w:p>
    <w:p>
      <w:r>
        <w:t>FR: TF 2C_635/2016 du 17 mars 2017</w:t>
      </w:r>
    </w:p>
    <w:p>
      <w:r>
        <w:t>IT: TF 2C_635/2016 del 17 marzo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Auf Beschwerden, die sich gegen eine Nichtverlängerung einer Aufenthaltsbewilligung richten, kann eingetreten werden, wenn in vertretbarer Weise ein Anspruch auf Verlängerung geltend gemacht wird; ob der Anspruch besteht, ist Gegenstand der materiellen Beurteilung ( BGE 136 II 177 E. 1.1 S. 179 f.; Urteil 2C_575/2013 vom 7. Februar 2014 E. 1.1). Der Beschwerdeführer stützt seinen Anspruch auf Verlängerung seiner Aufenthaltsbewilligung auf Art. 50 Abs. 1 lit. a des Bundesgesetzes vom 16. Dezember 2005 über die Ausländerinnen und Ausländer (AuG; SR 142.20). Auf die Beschwerde, die zulässig ist, soweit sie sich inhaltlich gegen die abgelehnte Verlängerung der Aufenthaltsbewilligung und nicht gegen die Wegweisung richtet (Art. 83 lit. c Ziff. 2</w:t>
      </w:r>
    </w:p>
    <w:p>
      <w:r>
        <w:t>e contrario BGG; Art. 83 lit. c Ziff. 4 BGG ; BGE 135 II 1 E. 1.2.2 S. 4),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1.4.1</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1.4.2</w:t>
      </w:r>
    </w:p>
    <w:p>
      <w:r>
        <w:t>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Geht der zu ergänzende Sachverhalt eindeutig und unter gewahrtem Gehörsanspruch der Betroffenen aus den Akten hervor, kann das Bundesgericht ihn selbst ergänzen; eine Rückweisung an die Vorinstanz zur weiteren Sachverhaltsfeststellung käme diesfalls einem unnötigen Leerlauf gleich ( Art. 105 Abs. 2 BGG ; Art. 107 Abs. 2 BGG ; BGE 131 II 470 E. 2 S. 476; CORBOZ, Commentaire de la LTF, 2. Aufl. 2014, N. 19 zu Art. 107 BGG ; zur fehlenden Qualifikation solcher Sachverhaltselemente als Noven BGE 136 V 365 E. 3.3.1 S. 364 f.; CORBOZ, a.a.O., N. 13a zu Art. 99 BGG ).</w:t>
      </w:r>
    </w:p>
    <w:p>
      <w:r>
        <w:rPr>
          <w:b/>
        </w:rPr>
        <w:t>E. 1.4.3</w:t>
      </w:r>
    </w:p>
    <w:p>
      <w:r>
        <w:t>Die dem Bundesgericht eingeräumte Befugnis zur Sachverhaltsergänzung oder -berichtigung ( Art. 105 Abs. 2 BGG ) entbindet den Beschwerdeführer jedoch nicht von seiner Rüge- und Substanziierungspflicht ( BGE 133 IV 286 E. 6.2 S. 288). Der Beschwerdeführer muss rechtsgenügend dartun, dass und inwiefern die Vorinstanz den Sachverhalt offensichtlich unrichtig festgestellt hat und zudem die Behebung des Mangels für den Ausgang des Verfahrens entscheidend sein soll (Art. 97 Abs. 1 in Verbindung mit Art. 106 Abs. 2 BGG ). Bloss appellatorische Kritik an der vorinstanzlichen Sachverhaltsermittlung und an der Beweiswürdigung genügt den Begründungs- bzw. Rügeanforderungen nicht (vgl. BGE 139 II 404 E. 10.1 S. 445 mit Hinweisen).</w:t>
      </w:r>
    </w:p>
    <w:p>
      <w:r>
        <w:rPr>
          <w:b/>
        </w:rPr>
        <w:t>E. 2</w:t>
      </w:r>
    </w:p>
    <w:p>
      <w:r>
        <w:t>Der Beschwerdeführer rügt eine Verletzung von Art. 50 Abs. 1 lit. a AuG und Art. 8 EMRK . Die Vorinstanz habe den Begriff der erfolgreichen Integration verkannt. Seine fehlende Erwerbstätigkeit während der unbestrittenermassen mehr als drei Jahre dauernden Ehe mit der Kindsmutter sei darauf zurückzuführen, dass überwiegend er sich um den gemeinsamen Sohn und den Haushalt gekümmert habe, während die Kindsmutter vollzeitlich einer Erwerbstätigkeit nachgegangen sei. Nach der Trennung habe er sich umgehend und mehrfach um eine wirtschaftliche Wiedereingliederung bemüht, tatsächlich auch gearbeitet, seine Sprachkenntnisse verbessert und sei im Zeitpunkt des angefochtenen Urteils seit über einem halben Jahr einer existenzsichernden Tätigkeit nachgegangen. Bei zutreffender Würdigung der massgeblichen Kriterien sei er als erfolgreich integriert zu betrachten, weshalb ihm unter Berücksichtigung der über dreijährigen Ehegemeinschaft mit der Kindsmutter gestützt auf Art. 50 Abs. 1 lit. a AuG und Art. 8 EMRK ein Anspruch auf Verlängerung seiner Aufenthaltsbewilligung zustehe.</w:t>
      </w:r>
    </w:p>
    <w:p>
      <w:r>
        <w:t>Ebenso leitet der Beschwerdeführer einen Anspruch auf Verlängerung seiner Aufenthaltsbewilligung aus Art. 50 Abs. 1 lit. b AuG und Art. 8 EMRK ab. Die enge Beziehung zu seinem Sohn in affektiver Hinsicht sei unbestritten. Mittlerweile sei ihm auf Grund seiner Erwerbstätigkeit auch eine Leistung von Alimenten möglich, weshalb eine solche auch in wirtschaftlicher Hinsicht bestehe. Zudem habe er sich während seines gesamten Aufenthalts tadellos verhalten; sein Sozialhilfebezug sei nur über einen beschränkten Zeitraum erfolgt, während dem er sich aktenkundig intensiv um eine Stelle bemüht habe. Die Vorinstanz, welche diese Elemente verkannt bzw. unzutreffend gewürdigt habe, habe Bundesrecht (Art. 50 Abs. 1 lit. b AuG und Art. 8 EMRK ) verletzt.</w:t>
      </w:r>
    </w:p>
    <w:p>
      <w:r>
        <w:rPr>
          <w:b/>
        </w:rPr>
        <w:t>E. 2.1.1</w:t>
      </w:r>
    </w:p>
    <w:p>
      <w:r>
        <w:t>Nach Art. 50 Abs. 1 lit. b AuG besteht nach Aufgabe der Familiengemeinschaft ein Anspruch auf Verlängerung der Aufenthaltsbewilligung, wenn wichtige persönliche Gründe einen weiteren Aufenthalt in der Schweiz erforderlich machen. Solche Gründe können insbesondere in einer schützenswerten, durch Art. 8 EMRK bzw. Art. 13 BV erfassten Beziehung zu einem in der Schweiz anwesenheitsberechtigten Kind bestehen ( BGE 139 I 315 E. 2.1 S. 319).</w:t>
      </w:r>
    </w:p>
    <w:p>
      <w:r>
        <w:rPr>
          <w:b/>
        </w:rPr>
        <w:t>E. 2.1.2</w:t>
      </w:r>
    </w:p>
    <w:p>
      <w:r>
        <w:t>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Rechtsprechung des Bundesgerichts kann ein weitergehender Anspruch nur dann in Betracht fallen, wenn in</w:t>
      </w:r>
    </w:p>
    <w:p>
      <w:r>
        <w:t>wirtschaftlicher und</w:t>
      </w:r>
    </w:p>
    <w:p>
      <w:r>
        <w:t>affektiver Hinsicht eine</w:t>
      </w:r>
    </w:p>
    <w:p>
      <w:r>
        <w:t>besonders enge Beziehung zum Kind besteht, diese Beziehung wegen der Distanz zum Heimatland des Ausländers praktisch nicht aufrechterhalten werden könnte und das bisherige Verhalten des Ausländers in der Schweiz zu</w:t>
      </w:r>
    </w:p>
    <w:p>
      <w:r>
        <w:t>keinerlei nennenswerten Klagen Anlass gegeben hat ( BGE 139 I 315 E. 2.2 S. 319; Urteil 2C_497/2014 vom 26. Oktober 2015 E. 5.2).</w:t>
      </w:r>
    </w:p>
    <w:p>
      <w:r>
        <w:rPr>
          <w:b/>
        </w:rPr>
        <w:t>E. 2.1.3</w:t>
      </w:r>
    </w:p>
    <w:p>
      <w:r>
        <w:t>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Bei der Beurteilung der wirtschaftlichen Verbundenheit können nicht nur Geld-, sondern auch Naturalleistungen (in Form von Betreuungsleistungen) eine wesentliche Rolle spielen (Urteile 2C_1125/2014 vom 9. November 2015 E. 4.6.1; 2C_497/2014 vom 26. Oktober 2015 E. 6.1, unter Verweis auf Art. 276 Abs. 2 ZGB ). Das Kriterium des tadellosen Verhaltens wurde in der bundesgerichtlichen Rechtsprechung bisher streng gehandhabt und die Praxis bisher nicht relativiert (vgl. BGE 139 I 315 E. 3.3 S. 324 f.). Das Bundesgericht hat diese jüngst einzig bei einer ausländischen Person etwas abgeschwächt, die nicht mehr im gemeinsamen Haushalt mit dem schweizerischen Ehegatten lebte, jedoch über das Kind - ohne es in der Obhut zu haben - wegen der fortbestehenden (formellen) Ehebeziehung noch die elterliche Sorge ausübte und zudem die Beziehung zum Kind tatsächlich sehr eng war (Treffen mehrere Male pro Woche; BGE 140 I 145 E. 4.3 S. 150 f.). Die Praxis, in Bezug auf das Kriterium des tadellosen Verhaltens gewisse "untergeordnete" Vorkommnisse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2C_1125/2014 vom 9. September 2015 E. 4.4; 2C_723/2014 vom 6. August 2015 E. 2.3; 2C_728/2014 vom 3. Juni 2015 E. 4.1).</w:t>
      </w:r>
    </w:p>
    <w:p>
      <w:r>
        <w:rPr>
          <w:b/>
        </w:rPr>
        <w:t>E. 2.2</w:t>
      </w:r>
    </w:p>
    <w:p>
      <w:r>
        <w:t>Die Vorinstanz hat erwogen, die enge Beziehung zwischen dem Beschwerdeführer und seinem Sohn in affektiver Hinsicht sei nicht umstritten. Die enge Beziehung in wirtschaftlicher Hinsicht liege jedoch nicht vor. Der Beschwerdeführer habe zunächst der Kindsmutter keine Alimente, sondern nur geringfügige Summen geleistet und dem Kind Kleider, Schuhe, Essen und Spielzeug gekauft; erst unter dem Druck des Verfahrens habe er begonnen, seinen wirtschaftlichen Unterhaltspflichten nachzukommen, weshalb unter Berücksichtigung seiner arbeitslosen Perioden Zweifel daran bestehen würden, ob er künftig für sein Kind wirtschaftlich aufkommen werde. Zudem könne sein Verhalten angesichts dessen, dass er während einem Jahr und vier Monaten verschuldet Sozialhilfe von Fr. 36'000.-- bezogen habe, nicht von einem tadellosen Verhalten gesprochen werden. Die Voraussetzungen, die Aufenthaltsbewilligung des Beschwerdeführers gestützt auf Art. 50 Abs. 1 lit. b AuG und Art. 8 EMRK zu verlängern, würden nicht vorliegen.</w:t>
      </w:r>
    </w:p>
    <w:p>
      <w:r>
        <w:rPr>
          <w:b/>
        </w:rPr>
        <w:t>E. 2.3</w:t>
      </w:r>
    </w:p>
    <w:p>
      <w:r>
        <w:t>Die vorinstanzlichen Erwägungen werden den Umständen des vorliegenden Einzelfalles nicht gerecht.</w:t>
      </w:r>
    </w:p>
    <w:p>
      <w:r>
        <w:rPr>
          <w:b/>
        </w:rPr>
        <w:t>E. 2.3.1</w:t>
      </w:r>
    </w:p>
    <w:p>
      <w:r>
        <w:t>Während der Ehe sorgen die Ehegatten gemeinsam, ein jeder nach seinen Kräften, für den gebührenden Unterhalt der Familie ( Art. 163 Abs. 1 ZGB ). Sie verständigen sich über den Beitrag, den jeder von ihnen leistet, namentlich durch Geldzahlungen, Besorgen des Haushaltes, Betreuen der Kinder oder durch Mithilfe im Beruf oder Gewerbe des andern ( Art. 163 Abs. 2 ZGB ), wobei sie die Bedürfnisse der ehelichen Gemeinschaft und ihre persönlichen Umstände berücksichtigen ( Art. 163 Abs. 3 ZGB ).</w:t>
      </w:r>
    </w:p>
    <w:p>
      <w:r>
        <w:t>Der Beschwerdeführer und die Kindesmutter haben sich während der Dauer der Familiengemeinschaft dahingehend organisiert, dass die Kindsmutter vollzeitlich erwerbstätig war und sich der Beschwerdeführer vorwiegend um das Kind kümmerte. Der Beschwerdeführer, der erst kurz vor seiner Heirat aus der Ukraine in die Schweiz eingereist war und sich während der über drei Jahre dauernden Familiengemeinschaft vorwiegend um das Kind gekümmert hatte, bekundete nach der Trennung offensichtlich Mühe, wirtschaftlich Fuss zu fassen, konnte diese anfänglichen Schwierigkeiten jedoch überwinden und stand im Zeitpunkt des angefochtenen Urteils seit über einem halben Jahr in einem existenzsichernden Arbeitsverhältnis. Während die enge Beziehung zum Sohn in affektiver Hinsicht offenkundig ist, muss eine solche in wirtschaftlicher Hinsicht ebenfalls bejaht werden. Die Vorinstanz übersieht, dass der Beschwerdeführer insbesondere zu Beginn seinen Unterhaltspflichten vorab in Form von Erziehung und Pflege ( Art. 276 Abs. 1 ZGB ) nachgekommen ist und dem Kind nach der Trennung und der erfahrenen Arbeitslosigkeit mit seinen bescheidenen Mitteln Kleider, Schuhe, Essen und Spielzeug gekauft hat. Sobald sich seine wirtschaftlichen Verhältnisse verbesserten, erfüllte er seine Unterhaltspflichten auch durch Geldleistungen an die Kindsmutter. Angesichts der während der Familiengemeinschaft gewählten Rollenverteilung erscheint es als verfehlt, dem Beschwerdeführer, der sich vorwiegend um das Kind gekümmert hatte, seine vergleichsweise geringere wirtschaftliche Leistungsfähigkeit in einer Gesamtbetrachtung negativ anzurechnen. Vielmehr ist davon auszugehen, dass zwischen dem Beschwerdeführer und seinem Sohn sowohl in affektiver wie auch in wirtschaftlicher Hinsicht ein enges Verhältnis besteht, das bei einer Ausreise des Beschwerdeführers in seinen Heimatstaat angesichts der räumlichen Distanz praktisch nicht aufrecht erhalten werden könnte.</w:t>
      </w:r>
    </w:p>
    <w:p>
      <w:r>
        <w:rPr>
          <w:b/>
        </w:rPr>
        <w:t>E. 2.3.2</w:t>
      </w:r>
    </w:p>
    <w:p>
      <w:r>
        <w:t>Hinsichtlich des Verhaltens des Beschwerdeführer ist sicher davon auszugehen, dass die wirtschaftliche Integration des Beschwerdeführers nur zögerlich verlaufen ist und auch reibungsloser hätte erfolgen können. Ein inzwischen überwundener, vorübergehender Sozialhilfebezug (ein Jahr und vier Monate) in einem Gesamtumfang von Fr. 36'000.-- nach der Auflösung einer Familiengemeinschaft, in welcher der Beschwerdeführer vorwiegend Betreuungsaufgaben wahrnahm, fällt jedoch in einer Gesamtbetrachtung noch nicht so stark ins Gewicht, als dass er die übrigen Kriterien (vorliegend die affektiv und wirtschaftlich intensive Beziehung zum Sohn, dessen vorwiegende Betreuungsperson er war, und das Kindesinteresse an einer Aufrechterhaltung dieser Beziehung) aufzuwiegen vermöge. Der Sozialhilfebezug ist damit als ein untergeordnetes Vorkommnis (vgl. dazu oben, E. 2.1.3) zu werten, welches einer Qualifikation des Verhaltens des Beschwerdeführers als tadellos nicht entgegensteht.</w:t>
      </w:r>
    </w:p>
    <w:p>
      <w:r>
        <w:rPr>
          <w:b/>
        </w:rPr>
        <w:t>E. 2.3.3</w:t>
      </w:r>
    </w:p>
    <w:p>
      <w:r>
        <w:t>Grundlage der Beurteilung der Situation des Beschwerdeführers ist somit eine besonders enge Beziehung zwischen dem Beschwerdeführer und seinem Sohn in wirtschaftlicher und affektiver Hinsicht, die wegen der Distanz zum Heimatstaat des Beschwerdeführers nicht aufrechterhalten könnte, und ein Verhalten des Beschwerdeführers, das zu keinen nennenswerten Klagen Anlass gegeben hatte. Die Beziehung zwischen dem Beschwerdeführer und seinem Sohn wird somit vom Schutzbereich der konventions- und verfassungsrechtlichen Garantie des Privat- und Familienlebens ( Art. 8 EMRK ; Art. 13 BV ) erfasst. Dieser Anspruch auf Privat- und Familienleben wird angesichts dessen, dass bei einer Gesamtbetrachtung die affektiv und wirtschaftlich intensive Beziehung zum Sohn und das Kindesinteresse an einer Aufrechterhaltung dieser Beziehung den vorübergehenden Bezug von Sozialhilfe im Umfang von Fr. 36'000.-- aufzuwiegen vermögen ( Art. 8 Ziff. 2 EMRK ; Art. 13 in Verbindung mit Art. 36 BV ), durch eine aufenthaltsbeendende Massnahme verletzt. Die Beschwerde erweist sich als begründet, ohne dass auf die Rüge der Verletzung von Art. 50 Abs. 1 lit. a AuG einzugehen wäre. Das angefochtene Urteil ist aufzuheben und das kantonale Migrationsamt anzuweisen, die Aufenthaltsbewilligung des Beschwerdeführers zu verlängern.</w:t>
      </w:r>
    </w:p>
    <w:p>
      <w:r>
        <w:rPr>
          <w:b/>
        </w:rPr>
        <w:t>E. 3</w:t>
      </w:r>
    </w:p>
    <w:p>
      <w:r>
        <w:t>Bei diesem Verfahrensausgang sind keine Gerichtskosten zu erheben (Art. 66 Abs. 3 AuG). Der Kanton Zürich hat dem Beschwerdeführer eine Parteientschädigung von Fr. 2'500.-- auszurichten ( Art. 68 Abs. 1 BGG ). Das Gesuch des Beschwerdeführers um unentgeltliche Rechtspflege und Verbeiständung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