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2C_634/2007 vom 15. April 2008</w:t>
      </w:r>
    </w:p>
    <w:p>
      <w:r>
        <w:t>Bundesgericht, 2008-04-15, DE</w:t>
      </w:r>
    </w:p>
    <w:p>
      <w:r>
        <w:rPr>
          <w:b/>
        </w:rPr>
        <w:t xml:space="preserve">Quelle: </w:t>
      </w:r>
      <w:r>
        <w:t>https://mcp.opencaselaw.ch/entscheid/bger_2C_634_2007</w:t>
      </w:r>
    </w:p>
    <w:p>
      <w:r>
        <w:t>FR: TF 2C_634/2007 du 15 avril 2008</w:t>
      </w:r>
    </w:p>
    <w:p>
      <w:r>
        <w:t>IT: TF 2C_634/2007 del 15 aprile 2008</w:t>
      </w:r>
    </w:p>
    <w:p>
      <w:pPr>
        <w:pStyle w:val="Heading2"/>
      </w:pPr>
      <w:r>
        <w:t>Erwägungen</w:t>
      </w:r>
    </w:p>
    <w:p>
      <w:r>
        <w:rPr>
          <w:b/>
        </w:rPr>
        <w:t>E. 1.1</w:t>
      </w:r>
    </w:p>
    <w:p>
      <w:r>
        <w:t>Im vorliegend zu entscheidenden interkantonalen Kompetenzkonflikt kann die bereits rechtskräftige Veranlagung des Kantons Waadt für die Steuerperiode 2004 mit angefochten werden (vgl. Art. 100 Abs. 5 BGG , BGE 131 I 145 E. 2.1 S. 145), obwohl sie kein Urteil im Sinne von Art. 86 BGG bildet (vgl. BGE 133 I 300 E. 2.4 S. 307, 308 E. 2.4 S. 313). Dabei prüft das Bundesgericht nicht von Amtes wegen, ob eine vom Beschwerdeführer nicht angefochtene konkurrierende Veranlagung das Verbot der Doppelbesteuerung verletzt (vgl. BGE 111 Ia 44 E. 1b S. 46, mit Hinweisen). Vorliegend richtet sich die Beschwerde auf den ersten Blick nur gegen den Kanton Luzern. Der Beschwerdeführer beantragt indessen allgemein eine verfassungsmässige Festlegung von Steuerdomizil und -hoheit für die massgebliche Periode. Aus der Art und Weise, wie er seine Rechtsbegehren formuliert und begründet hat, kann sinngemäss davon ausgegangen werden, dass er sich hilfsweise ebenfalls gegen die Waadtländische Veranlagung wendet. Deshalb muss diese als mitangefochten gelten und wurde der Kanton Waadt zur Stellungnahme aufgefordert.</w:t>
      </w:r>
    </w:p>
    <w:p>
      <w:r>
        <w:rPr>
          <w:b/>
        </w:rPr>
        <w:t>E. 6</w:t>
      </w:r>
    </w:p>
    <w:p>
      <w:r>
        <w:t>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wird das Hauptsteuerdomizil des Beschwerdeführers vom 1. Januar 2004 an sowohl vom Kanton Waadt, wo er rechtskräftig eingeschätzt ist, als auch aufgrund des angefochtenen Entscheids vom Kanton Luzern beansprucht. Daraus ergibt sich für die Steuerperiode 2004 eine aktuelle Doppelbesteuerung.</w:t>
      </w:r>
    </w:p>
    <w:p>
      <w:r>
        <w:t>3.</w:t>
      </w:r>
    </w:p>
    <w:p>
      <w:r>
        <w:t>3.1. Auf den 1. Januar 2004 hat der Beschwerdeführer sein bisheriges Hauptsteuerdomizil in B.________ aufgegeben. Er behauptet eine Wohnsitzverlegung nach Lausanne, wofür er gemäss den allgemeinen Verfahrensregeln den Nachweis zu erbringen hat. Nach denselben Regeln hat die Steuerbehörde dagegen ihre Auffassung zu belegen, der Beschwerdeführer habe sein Hauptsteuerdomizil nur in die Nachbargemeinde A.________ verlegt, wo er aufgrund des Landwirtschaftsbetriebs seiner Ehefrau schon immer teilweise steuerpflichtig war (vgl. u.a. Pra 2000 Nr. 7 S. 29 E. 3c).</w:t>
      </w:r>
    </w:p>
    <w:p>
      <w:r>
        <w:t>4.</w:t>
      </w:r>
    </w:p>
    <w:p>
      <w:r>
        <w:t>Nach dem Gesagten erweist sich die Beschwerde gegen den Kanton Luzern als unbegründet und ist abzuweisen. Hingegen ist die implizit gegenüber dem Kanton Waadt miterhobene Beschwerde gutzuheissen. Die Verfügung der Steuerverwaltung des Kantons Waadt vom 5. Dezember 2005 ist aufzuheben. Die rechtskräftig erhobenen Staats- und Gemeindesteuern sind dem Beschwerdeführer zurückzuerstatten.</w:t>
      </w:r>
    </w:p>
    <w:p>
      <w:r>
        <w:t>5.</w:t>
      </w:r>
    </w:p>
    <w:p>
      <w:r>
        <w:t>Bei diesem Verfahrensausgang werden die bundesgerichtlichen Kosten dem Beschwerdeführer, der mit seinem Hauptantrag nicht durchdringt,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