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633/2019 vom 11. November 2019</w:t>
      </w:r>
    </w:p>
    <w:p>
      <w:r>
        <w:t>Bundesgericht, 2019-11-11, IT</w:t>
      </w:r>
    </w:p>
    <w:p>
      <w:r>
        <w:rPr>
          <w:b/>
        </w:rPr>
        <w:t xml:space="preserve">Quelle: </w:t>
      </w:r>
      <w:r>
        <w:t>https://mcp.opencaselaw.ch/entscheid/bger_2C_633_2019</w:t>
      </w:r>
    </w:p>
    <w:p>
      <w:r>
        <w:t>FR: TF 2C 633/2019 du 11 novembre 2019</w:t>
      </w:r>
    </w:p>
    <w:p>
      <w:r>
        <w:t>IT: TF 2C 633/2019 del 11 novembre 2019</w:t>
      </w:r>
    </w:p>
    <w:p>
      <w:pPr>
        <w:pStyle w:val="Heading2"/>
      </w:pPr>
      <w:r>
        <w:t>Regeste</w:t>
      </w:r>
    </w:p>
    <w:p>
      <w:r>
        <w:t>Decisione di assoggettamento (doppia imposizione intercantonale) | Finanze pubbliche &amp; diritto tributario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Insorgendo davanti al Tribunale federale, la ricorrente non contesta i principi di giurisprudenza su cui si è basata la Corte cantonale, che sono del resto quelli appena indicati e sono pertanto giusti; ritiene però che le conclusioni tratte dai Giudici ticinesi "non siano necessariamente corrette e potrebbero anche essere discusse o contestate". A tal riguardo, precisa infatti: (a) che in casi come quello in esame "non è necessaria la presenza di dipendenti o di importanti infrastrutture"; (b) che la gestione pratica degli immobili (contatti con gli inquilini, incasso affitti, contatti con gli artigiani, riparazioni, ecc.) è di regola delegata a società specializzate mentre la gestione patrimoniale è delegata alle banche, dove sono depositati i fondi, e/o a gestori o consulenti esterni; (c) che le decisioni rilevanti ai fini della fissazione della direzione effettiva (decisioni di acquisto e vendita di immobili oppure conferimento di mandati di gestione) possono quindi anche essere - e sono di regola - molto poche e sporadiche nell'intera vita di una società; (d) che, oltre a non essere necessaria un'importante infrastruttura, per attività come quelle dell'insorgente non è nemmeno necessario che l'amministratore si rechi ogni giorno, o di frequente, presso la sede statutaria.</w:t>
      </w:r>
    </w:p>
    <w:p>
      <w:r>
        <w:rPr>
          <w:b/>
        </w:rPr>
        <w:t>E. 5.2</w:t>
      </w:r>
    </w:p>
    <w:p>
      <w:r>
        <w:t>Tenuto conto dei fatti accertati dalla Corte ticinese, che non sono stati messi in discussione rispettivamente completati nemmeno dal fisco del Cantone Lucerna e che vincolano pertanto il Tribunale federale (precedente consid. 2.2), così come dei principi validi in materia, le critiche esposte non possono essere tuttavia condivise.</w:t>
      </w:r>
    </w:p>
    <w:p>
      <w:r>
        <w:rPr>
          <w:b/>
        </w:rPr>
        <w:t>E. 5.2.1</w:t>
      </w:r>
    </w:p>
    <w:p>
      <w:r>
        <w:t>La ricorrente indica in effetti di avere sede in via X.________ a Y.________ (LU), dove dispone di un ufficio con sala riunioni, piccola cucina e bagno/WC in un immobile di sua proprietà. A questo indirizzo non lavora però nessuno, perché la società non ha dipendenti. In quel luogo non è inoltre regolarmente attivo nemmeno l'amministratore unico della società, poiché dalla sua agenda del 2018 (la sola prodotta) emerge che egli si reca a Y.________ meno di una volta al mese (giudizio impugnato, consid. 2.4.2).</w:t>
      </w:r>
    </w:p>
    <w:p>
      <w:r>
        <w:rPr>
          <w:b/>
        </w:rPr>
        <w:t>E. 5.2.2</w:t>
      </w:r>
    </w:p>
    <w:p>
      <w:r>
        <w:t>Altri elementi utili a comprovare che l'amministrazione effettiva è svolta all'indirizzo statutario e non altrove non ne sono d'altra parte emersi. Della gestione degli immobili (siti in più Cantoni) non è infatti la società ad occuparsene, bensì degli operatori locali; come visto, ai fini del contendere simile attività non è inoltre decisiva, poiché di rilievo è l'attività dirigenziale non quella di gestione corrente degli immobili (precedente consid. 4.3).</w:t>
      </w:r>
    </w:p>
    <w:p>
      <w:r>
        <w:rPr>
          <w:b/>
        </w:rPr>
        <w:t>E. 5.2.3</w:t>
      </w:r>
    </w:p>
    <w:p>
      <w:r>
        <w:t>Proprio nell'ottica dell'esercizio dell'attività dirigenziale - unica qui determinante e relativa, oltre che all'attività immobiliare, anche a quella di gestione patrimoniale - gli indizi a disposizione portano infine a confermare la decisione di assoggettamento della ricorrente nel Cantone Ticino. Fino al 19 marzo di quest'anno la sola persona abilitata a rappresentare e ad impegnare la ricorrente, era infatti il suo amministratore unico B.________, che riferisce di agire come "estensione operativa dell'azionista" e che risiede a W.________ dal 1° agosto 2013. La corrispondenza tra la ricorrente e il fisco ticinese che si trova agli atti è stata ritirata a W.________ ("Adresseumleitung" dall'indirizzo di Y.________) e pure le risposte all'autorità sono state spedite dal Canton Ticino (W.________ e Z.________, nel Canton Ticino), non dal Cantone Lucerna. Sempre a W.________, B.________ è inoltre dipendente della C.________ SA, società della quale e pure presidente del Consiglio di amministrazione e che persegue pressoché i medesimi scopi della ricorrente, così come membro del consiglio di amministrazione di altre due società (D.________ SA e E.________ SA).</w:t>
      </w:r>
    </w:p>
    <w:p>
      <w:r>
        <w:rPr>
          <w:b/>
        </w:rPr>
        <w:t>E. 5.3</w:t>
      </w:r>
    </w:p>
    <w:p>
      <w:r>
        <w:t>Proceduto a un apprezzamento complessivo della fattispecie, in conformità alla giurisprudenza relativa all' art. 127 cpv. 3 Cost. , la valutazione espressa nel merito dalla Camera di diritto tributario va quindi condivisa e il giudizio impugnato confermato.</w:t>
      </w:r>
    </w:p>
    <w:p>
      <w:r>
        <w:rPr>
          <w:b/>
        </w:rPr>
        <w:t>E. 6.1</w:t>
      </w:r>
    </w:p>
    <w:p>
      <w:r>
        <w:t>Per quanto rivolto contro il Cantone Ticino, il ricorso è pertanto respinto. Per quanto rivolto contro il Cantone Lucerna, il ricorso è invece accolto. Di conseguenza, le decisioni di tassazione emesse dal Cantone Lucerna il 6 aprile 2017 (periodo fiscale 2015) e l'8 marzo 2018 (periodo fiscale 2016) sono annullate.</w:t>
      </w:r>
    </w:p>
    <w:p>
      <w:r>
        <w:rPr>
          <w:b/>
        </w:rPr>
        <w:t>E. 6.2</w:t>
      </w:r>
    </w:p>
    <w:p>
      <w:r>
        <w:t>Ritenuto che la conclusione formulata in via principale è stata respinta, la ricorrente va considerata come soccombente e deve sopportare le spese giudiziarie federali ( art. 66 cpv. 1 e 5 LTF ; sentenze 2C_462/2018 del 7 giugno 2019 consid. 8.2 e 2C_373/2018 del 31 gennaio 2019 consid. 9.2). Non sono dovute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