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2C_632/2023 vom 16. November 2023</w:t>
      </w:r>
    </w:p>
    <w:p>
      <w:r>
        <w:t>Bundesgericht, 2023-11-16, IT</w:t>
      </w:r>
    </w:p>
    <w:p>
      <w:r>
        <w:rPr>
          <w:b/>
        </w:rPr>
        <w:t xml:space="preserve">Quelle: </w:t>
      </w:r>
      <w:r>
        <w:t>https://mcp.opencaselaw.ch/entscheid/bger_2C_632_2023</w:t>
      </w:r>
    </w:p>
    <w:p>
      <w:r>
        <w:t>FR: TF 2C_632/2023 du 16 novembre 2023</w:t>
      </w:r>
    </w:p>
    <w:p>
      <w:r>
        <w:t>IT: TF 2C_632/2023 del 16 novembre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Tribunale federale esamina d'ufficio e con piena cognizione la propria competenza ( art. 29 cpv. 1 LTF ) nonché l'ammissibilità dei rimedi di diritto proposti ( DTF 146 II 276 consid. 1; 146 IV 185 consid. 2 e richiami).</w:t>
      </w:r>
    </w:p>
    <w:p>
      <w:r>
        <w:rPr>
          <w:b/>
        </w:rPr>
        <w:t>E. 2</w:t>
      </w:r>
    </w:p>
    <w:p>
      <w:r>
        <w:t>Il procedimento concerne una decisione messa in materia di diritto degli stranieri, cioè la commutazione del permesso di domicilio UE/AELS di cui il ricorrente era titolare, in un permesso di dimora (vedasi art. 63 cpv. 2 LStrI [RS 142.20]). Giusta l'art. 83 lett. c n. 2 LTF, il ricorso in materia di diritto pubblico è inammissibile contro le decisioni in materia di diritto degli stranieri concernenti permessi o autorizzazioni al cui ottenimento né il diritto federale né il diritto internazionale conferiscono un diritto. Dato che il ricorrente è cittadino italiano e che può quindi, di principio, riferirsi all'Accordo del 21 giugno 1999 sulla libera circolazione delle persone (ALC; RS 0.142.112.681), la causa sfugge tuttavia alla clausola d'eccezione.</w:t>
      </w:r>
    </w:p>
    <w:p>
      <w:r>
        <w:rPr>
          <w:b/>
        </w:rPr>
        <w:t>E. 2.1</w:t>
      </w:r>
    </w:p>
    <w:p>
      <w:r>
        <w:t>Quando è rivolto contro una decisione cantonale, il ricorso in materia di diritto pubblico è proponibile unicamente contro decisioni rese in ultima istanza cantonale da un tribunale superiore, nel rispetto del requisito dell'esaurimento delle istanze ricorsuali cantonali di cui agli artt. 80 cpv. 1 e 2 nonché 86 cpv. 1 lett. d e cpv. 2 LTF. Ora, la risoluzione del Consiglio di Stato non è una decisione resa in ultima istanza da un tribunale superiore. Come emerge dai rimedi di diritto indicati nella medesima (vedasi risoluzione governativa cifra 4 del dispositivo pag. 13) il ricorrente, se non ne condivideva il contenuto, doveva infatti dapprima contestarla dinanzi al Tribunale cantonale amministrativo ticinese (art. 9 cpv. 2 della legge ticinese di applicazione alla legislazione federale sugli stranieri e la loro integrazione, dell'8 giugno 1998, LALSI [RL/TI 143.100]) e poi, se del caso, rivolgersi al Tribunale federale. Ora, come risulta dalla lettera del 7 novembre 2023, agli atti, dell'Ufficio della migrazione indirizzata all'interessato, questi non ha adito il Tribunale cantonale amministrativo. Non vi è quindi una decisione resa dall'ultima istanza cantonale e non è quindi stato esaurito il corso delle istanze ricorsuali cantonali. Trattato come ricorso in materia di diritto pubblico il presente gravame è pertanto inammissibile.</w:t>
      </w:r>
    </w:p>
    <w:p>
      <w:r>
        <w:rPr>
          <w:b/>
        </w:rPr>
        <w:t>E. 3</w:t>
      </w:r>
    </w:p>
    <w:p>
      <w:r>
        <w:t>Premesse queste considerazioni, il ricorso dev'essere dichiarato inammissibile in applicazione dei combinati artt. 30 cpv. 1 e 108 cpv. 1 lett. a LTF e va trasmesso ( art. 30 cpv. 2 LTF ) al Tribunale cantonale amministrativo ticinese per motivi di competenza.</w:t>
      </w:r>
    </w:p>
    <w:p>
      <w:r>
        <w:rPr>
          <w:b/>
        </w:rPr>
        <w:t>E. 4</w:t>
      </w:r>
    </w:p>
    <w:p>
      <w:r>
        <w:t>Comunicazione al ricorrente, all'Ufficio della migrazione della Sezione della popolazione del Dipartimento delle istituzioni, al Consiglio di Stato e al Tribunale amministrativo del Cantone Ticino.</w:t>
      </w:r>
    </w:p>
    <w:p>
      <w:r>
        <w:t>Losanna, 16 novembre 2023</w:t>
      </w:r>
    </w:p>
    <w:p>
      <w:r>
        <w:t>In nome della II Corte di diritto pubblico</w:t>
      </w:r>
    </w:p>
    <w:p>
      <w:r>
        <w:t>del Tribunale federale svizzero</w:t>
      </w:r>
    </w:p>
    <w:p>
      <w:r>
        <w:t>La Presidente: F. Aubry Girardin</w:t>
      </w:r>
    </w:p>
    <w:p>
      <w:r>
        <w:t>La Cancelliera: Ieronimo Perroud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