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2C_631/2017 vom 30. Januar 2019</w:t>
      </w:r>
    </w:p>
    <w:p>
      <w:r>
        <w:t>Bundesgericht, 2019-01-30, DE</w:t>
      </w:r>
    </w:p>
    <w:p>
      <w:r>
        <w:rPr>
          <w:b/>
        </w:rPr>
        <w:t xml:space="preserve">Quelle: </w:t>
      </w:r>
      <w:r>
        <w:t>https://mcp.opencaselaw.ch/entscheid/bger_2C_631_2017</w:t>
      </w:r>
    </w:p>
    <w:p>
      <w:r>
        <w:t>FR: TF 2C_631/2017 du 30 janvier 2019</w:t>
      </w:r>
    </w:p>
    <w:p>
      <w:r>
        <w:t>IT: TF 2C_631/2017 del 30 gennaio 2019</w:t>
      </w:r>
    </w:p>
    <w:p>
      <w:pPr>
        <w:pStyle w:val="Heading2"/>
      </w:pPr>
      <w:r>
        <w:t>Erwägungen</w:t>
      </w:r>
    </w:p>
    <w:p>
      <w:r>
        <w:rPr>
          <w:b/>
        </w:rPr>
        <w:t>E. 1.1</w:t>
      </w:r>
    </w:p>
    <w:p>
      <w:r>
        <w:t>Gegen das angefochtene Urteil ist die Beschwerde in öffentlich-rechtlichen Angelegenheiten zulässig ( Art. 82 lit. a BGG i.V.m. Art. 146 DBG [SR 642.11], Art. 86 Abs. 1 lit. d, Abs. 2 und Art. 90 BGG ). Die Beschwerdeführerin ist als Rechtsnachfolgerin der B.________ AG ( Art. 54 Abs. 3 DBG ) durch den angefochtenen Entscheid besonders berührt und zur Beschwerde legitimiert ( Art. 89 Abs. 1 BGG ). Auf die frist- ( Art. 100 Abs. 1 BGG ) und formgerecht ( Art. 42 BGG ) eingereichte Beschwerde ist einzutreten.</w:t>
      </w:r>
    </w:p>
    <w:p>
      <w:r>
        <w:rPr>
          <w:b/>
        </w:rPr>
        <w:t>E. 1.2</w:t>
      </w:r>
    </w:p>
    <w:p>
      <w:r>
        <w:t>Mit der Beschwerde in öffentlich-rechtlichen Angelegenheiten kann namentlich die Verletzung von Bundesrecht gerügt werden ( Art. 95 BGG ). Das Bundesgericht wendet das Recht von Amtes wegen an ( Art. 106 Abs. 1 BGG ). Es legt seinem Urteil den von der Vorinstanz festgestellten Sachverhalt zugrunde ( Art. 105 Abs. 1 BGG ), es sei denn, dieser ist offensichtlich unrichtig oder beruht auf einer Rechtsverletzung im Sinne von Art. 95 BGG (Art. 105 Abs. 2 bzw. Art. 97 Abs. 1 BGG ).</w:t>
      </w:r>
    </w:p>
    <w:p>
      <w:r>
        <w:rPr>
          <w:b/>
        </w:rPr>
        <w:t>E. 2</w:t>
      </w:r>
    </w:p>
    <w:p>
      <w:r>
        <w:t>Der Streitgegenstand des vorliegenden Verfahrens beschränkt sich auf die Frage, ob die Beschwerdeführerin in der Steuerperiode 2007 für ihre damalige Muttergesellschaft als Treuhänderin tätig geworden ist und die erzielten Kapitalgewinne demgemäss von der Muttergesellschaft zu versteuern sind.</w:t>
      </w:r>
    </w:p>
    <w:p>
      <w:r>
        <w:rPr>
          <w:b/>
        </w:rPr>
        <w:t>E. 2.1</w:t>
      </w:r>
    </w:p>
    <w:p>
      <w:r>
        <w:t>Das Bundesgericht hat die Grundsätze für die steuerrechtliche Anerkennung eines Treuhandverhältnisses im Urteil 2C_24/2014 vom 29. Januar 2015 zusammengefasst (E. 4.3.1 und 4.3.2) :</w:t>
      </w:r>
    </w:p>
    <w:p>
      <w:r>
        <w:t>Praxisgemäss sind die Steuerbehörden berechtigt, Rechtsverhältnisse und Rechtsgeschäfte - unter Vorbehalt des Gegenbeweises - demjenigen zuzuschreiben, auf dessen Namen sie lauten, denn nach dem gewöhnlichen Lauf der Dinge wird ein in eigenem Namen abgeschlossenes Rechtsgeschäft auch auf eigene Rechnung getätigt. Liegt - ausnahmsweise - ein Vertretungs- bzw. Treuhandverhältnis vor, obliegt daher dessen Nachweis als steuermindernde Tatsache nach den allgemeinen Beweisregeln dem Steuerpflichtigen. Die Behauptung, ein im eigenen Namen abgeschlossenes Rechtsgeschäft sei treuhänderisch für einen Dritten abgeschlossen worden, darf nach der Praxis unberücksichtigt gelassen werden, wenn das Treuhandverhältnis nicht einwandfrei nachgewiesen ist (Urteile 2C_416/2013 vom 5. November 2013 E. 10.3.2, nicht publiziert in: BGE 140 I 68 ; 2C_387/2007 vom 4. März 2008 E. 4.2; 2A.524/2000 vom 12. April 2001 E. 4b; 2A.204/1997 vom 26. Mai 1999 E. 3a, in: ASA 68 S. 746). Nach der Praxis der Eidgenössischen Steuerverwaltung (vgl. "Merkblatt: Treuhandverhältnisse" vom Oktober 1967, Nachdruck 1993; im Folgenden: Merkblatt ESTV) müssen für die Anerkennung eines Treuhandverhältnisses folgende formellen Voraussetzungen (lit. A)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w:t>
      </w:r>
    </w:p>
    <w:p>
      <w:r>
        <w:t>Die Erfüllung dieser formellen Voraussetzungen ist nach der Rechtsprechung zwar nicht unabdingbare Voraussetzung für die steuerliche Anerkennung eines Treuhandverhältnisses. Ein Nachweis ist dem Pflichtigen somit auch auf andere Weise möglich. Doch ist in jedem Fall ein eindeutiger Nachweis erforderlich. Gerade wenn - wie hier - auch internationale Rechtsbeziehungen in Frage stehen, sind an diesen Nachweis strenge Anforderungen zu stellen, da sich solche Rechtsgeschäfte weitgehend der Kontrolle der inländischen Steuerbehörden entziehen (Urteile 2A.79/2002 vom 27. Januar 2003 E. 5.2; 2A.524/2000 vom 12. April 2001 E. 4b; 2A.204/1997 vom 26. Mai 1999 E. 2b und 3a, in: ASA 68 S. 746).</w:t>
      </w:r>
    </w:p>
    <w:p>
      <w:r>
        <w:rPr>
          <w:b/>
        </w:rPr>
        <w:t>E. 2.2</w:t>
      </w:r>
    </w:p>
    <w:p>
      <w:r>
        <w:t>Die Vorinstanz hat festgehalten, dass das von der Beschwerdeführerin behauptete Treuhandverhältnis die Voraussetzung von lit. A Ziff. 6 Merkblatt ESTV (buchhalterische Erfassung) nicht erfülle und das Treuhandverhältnis auch nicht anderweitig nachgewiesen worden sei. Die Beschwerdeführerin bringt dagegen vor, dass sie das Treuhandverhältnis in ihrer Buchhaltung erfasst habe und alle Voraussetzungen gemäss Merkblatt ESTV erfülle.</w:t>
      </w:r>
    </w:p>
    <w:p>
      <w:r>
        <w:rPr>
          <w:b/>
        </w:rPr>
        <w:t>E. 2.2.1</w:t>
      </w:r>
    </w:p>
    <w:p>
      <w:r>
        <w:t>Die Beschwerdeführerin weist in ihrer Bilanz (per 31. Dezember 2007) das Treugut auf der Aktivseite separat aus und gibt als Gegenkonto auf der Passivseite ihre Verbindlichkeiten gegenüber dem Treugeber an. Ebenso ergibt sich aus ihrer Buchhaltung, dass sie die entsprechenden Posten mit separaten Konten erfasst hat (z.B. "Depot Aktien D.________ AG"; "Darlehen Treugeber [CHF]"; "Darlehen Treugeber [EUR]"). Wie die Vorinstanz allerdings zu Recht bemängelt, hat die Beschwerdeführerin zusammen mit ihrer Steuererklärung lediglich eine nicht unterzeichnete Jahresrechnung, bestehend aus einer provisorischen Saldobilanz und Erfolgsrechnung, eingereicht. Die Beschwerdeführerin begründet die Einreichung einer "vorerst" nur provisorischen Jahresrechnung mit der Fusion mit ihrer Muttergesellschaft gemäss Fusionsvertrag vom 18. Juni 2008, ohne näher zu erläutern, weshalb sie durch die rückwirkende Fusion per 1. Januar 2008 an der Einreichung einer definitiven Jahresrechnung gehindert worden ist bzw. sie in der Folge keine definitive Jahresrechnung nachgereicht hat. Es steht ausser Frage, dass die Verpflichtung, wonach in jedem Kalenderjahr ein Geschäftsabschluss mit Bilanz und Erfolgsrechnung zu erstellen ist ( Art. 79 Abs. 3 DBG ), mit einer bloss provisorischen Jahresrechnung nicht erfüllt wird. Somit muss der Beweiswert der eingereichten "provisorischen" Bilanz und Erfolgsrechnung von vornherein angezweifelt werden.</w:t>
      </w:r>
    </w:p>
    <w:p>
      <w:r>
        <w:rPr>
          <w:b/>
        </w:rPr>
        <w:t>E. 2.2.2</w:t>
      </w:r>
    </w:p>
    <w:p>
      <w:r>
        <w:t>Es kommt hinzu, dass die Beschwerdeführerin in ihrer Bilanz das Aktivkonto "Treugut" mit Fr. 0.-- ausweist, während sie auf der Passivseite beim Konto "Verbindlichkeiten gegenüber Treugeber" einen Wert von Fr. 554'820.78 angibt. Sie führt zur Begründung an, sie habe die Anteile an der D.________ AG veräussert und deshalb mit Fr. 0.-- ausgewiesen, während sie "die gegenüber ihrer damaligen Muttergesellschaft [...] geschuldete Treuhandkommission unter dem Passivposten 'Verbindlichkeiten gegenüber Treugeber' ausgewiesen" habe. Diese Begründung ist nicht nachvollziehbar. Die Beschwerdeführerin hat als Treuhänderin Anspruch auf die Kommission als Vergütung für ihre Tätigkeit (siehe § 3 des Treuhandvertrags vom 11. Februar 2004); sie schuldet die Kommission somit nicht. Daher bleibt im Dunkeln, weshalb die Beschwerdeführerin ihrer Muttergesellschaft noch über Fr. 550'000.-- aus dem Treuhandverhältnis schulden soll, nachdem sie das Treugut vollständig veräussert hat. Es ist zudem unklar, warum der erzielte Gewinn von Fr. 69'002.57 in der Bilanz als "unverbuchter Gewinn" aufgeführt wird und in der Steuererklärung 2007 nicht als steuerbarer Reingewinn angegeben worden ist. Somit kann keine Rede davon sein, dass die Beschwerdeführerin das Treuhandverhältnis in der Bilanz nachvollziehbar ausgewiesen hat und ihre Buchhaltung den Steuerbehörden "jederzeit genauen Aufschluss über die Zusammensetzung und die Veränderung des Treugutes und die wechselseitigen Verpflichtungen" gibt, wie es lit. A Ziff. 5 und 6 Merkblatt ESTV verlangen. Soweit die Beschwerdeführerin der Vorinstanz in dieser Hinsicht eine willkürliche Feststellung des Sachverhalts vorwirft, ist ihre Rüge unbegründet.</w:t>
      </w:r>
    </w:p>
    <w:p>
      <w:r>
        <w:rPr>
          <w:b/>
        </w:rPr>
        <w:t>E. 2.2.3</w:t>
      </w:r>
    </w:p>
    <w:p>
      <w:r>
        <w:t>Die Beschwerdeführerin hat auch keine weiteren Dokumente vorgelegt, um das Vorliegen des behaupteten Treuhandverhältnisses nachzuweisen. Gemäss § 2 Ziff. 1 des Treuhandvertrags hat sie über die treuhänderisch gehaltenen Beteiligungen nur nach Massgabe der schriftlichen Weisungen des Treugebers verfügen dürfen. Solche Weisungen hat die Beschwerdeführerin nicht vorgebracht. Weiter ist unklar, ob und wann der Treuhandvertrag aufgelöst worden ist, nachdem die Beschwerdeführerin das Treugut vollständig veräussert hat. Eine gemäss § 7 des Treuhandvertrags erforderliche schriftliche Kündigung hat die Beschwerdeführerin ebenfalls nicht vorgebracht. Bereits die Vorinstanz hat auf diese Umstände hingewiesen; die Beschwerdeführerin äussert sich in der Beschwerde nicht dazu.</w:t>
      </w:r>
    </w:p>
    <w:p>
      <w:r>
        <w:rPr>
          <w:b/>
        </w:rPr>
        <w:t>E. 2.2.4</w:t>
      </w:r>
    </w:p>
    <w:p>
      <w:r>
        <w:t>Schliesslich spricht auch die Vorgeschichte, die zum Verfahren 2C_24/2014 geführt hat, gegen ein Treuhandverhältnis. Obwohl der Treuhandvertrag angeblich am 11. Februar 2004 abgeschlossen wurde, hat die Beschwerdeführerin das Treuhandverhältnis erstmals in den rektifizierten Steuererklärungen für die Jahre 2005 und 2006 ausgewiesen, die sie am 27. Juni 2008 nachgereicht hat. Das Bundesgericht hat in seinem Entscheid zu diesen Steuerjahren ausgeführt, dass die Behauptung der Beschwerdeführerin, das Treuhandverhältnis sei den zuständigen Organen nicht bekannt gewesen und deshalb nicht in der Buchhaltung erfasst worden, angesichts der engen personellen Verflechtung zwischen der Beschwerdeführerin und ihrer Muttergesellschaft wenig plausibel erscheine und eine blosse Schutzbehauptung sei (vgl. Urteil 2C_24/2014 vom 29. Januar 2015 E. 4.3.3). Vor diesem Hintergrund stellt sich die Frage, inwieweit der erst nachträglichen Erfassung eines Treuhandverhältnisses, das in den früheren Steuerperioden offensichtlich nicht gelebt worden ist, überhaupt Beweiswert zukommen kann. Die Frage kann aber offengelassen werden, nachdem - wie vorher gezeigt - bereits die buchhalterische Erfassung den Anforderungen für eine steuerrechtliche Anerkennung des Treuhandverhältnisses nicht genügt.</w:t>
      </w:r>
    </w:p>
    <w:p>
      <w:r>
        <w:rPr>
          <w:b/>
        </w:rPr>
        <w:t>E. 2.3</w:t>
      </w:r>
    </w:p>
    <w:p>
      <w:r>
        <w:t>Zusammenfassend erfüllt das Treuhandverhältnis die Voraussetzungen gemäss lit. A Ziff. 5 und 6 Merkblatt ESTV nicht. Nachdem die Beschwerdeführerin das Treuhandverhältnis auch nicht anderweitig nachgewiesen hat, haben die Vorinstanzen die steuerrechtliche Anerkennung zu Recht verweigert und die erzielten Kapitalgewinne bei der Beschwerdeführerin aufgerechnet.</w:t>
      </w:r>
    </w:p>
    <w:p>
      <w:r>
        <w:t>Dies führt zur Abweisung der Beschwerde.</w:t>
      </w:r>
    </w:p>
    <w:p>
      <w:r>
        <w:rPr>
          <w:b/>
        </w:rPr>
        <w:t>E. 3</w:t>
      </w:r>
    </w:p>
    <w:p>
      <w:r>
        <w:t>Bei diesem Verfahrensausgang sind die Gerichtskosten der Beschwerdeführerin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