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2C_62/2008 vom 25. September 2009</w:t>
      </w:r>
    </w:p>
    <w:p>
      <w:r>
        <w:t>Bundesgericht, 2009-09-25, DE</w:t>
      </w:r>
    </w:p>
    <w:p>
      <w:r>
        <w:rPr>
          <w:b/>
        </w:rPr>
        <w:t xml:space="preserve">Quelle: </w:t>
      </w:r>
      <w:r>
        <w:t>https://mcp.opencaselaw.ch/entscheid/bger_2C_62_2008</w:t>
      </w:r>
    </w:p>
    <w:p>
      <w:r>
        <w:t>FR: TF 2C_62/2008 du 25 septembre 2009</w:t>
      </w:r>
    </w:p>
    <w:p>
      <w:r>
        <w:t>IT: TF 2C_62/2008 del 25 settembre 2009</w:t>
      </w:r>
    </w:p>
    <w:p>
      <w:pPr>
        <w:pStyle w:val="Heading2"/>
      </w:pPr>
      <w:r>
        <w:t>Erwägungen</w:t>
      </w:r>
    </w:p>
    <w:p>
      <w:r>
        <w:rPr>
          <w:b/>
        </w:rPr>
        <w:t>E. 1.1</w:t>
      </w:r>
    </w:p>
    <w:p>
      <w:r>
        <w:t>Ein kantonaler Erlass kann beim Bundesgericht mit Beschwerde in öffentlich-rechtlichen Angelegenheiten angefochten werden ( Art. 82 lit. b BGG ). Der Ausschlusskatalog von Art. 83 BGG betrifft nur Beschwerden gegen Entscheide und kommt bei der Anfechtung von Erlassen (abstrakte Normenkontrolle) nicht zur Anwendung. Gegen kantonale Erlasse ist unmittelbar die Beschwerde zulässig, sofern kein kantonales Rechtsmittel ergriffen werden kann ( Art. 87 Abs. 1 BGG ).</w:t>
      </w:r>
    </w:p>
    <w:p>
      <w:r>
        <w:rPr>
          <w:b/>
        </w:rPr>
        <w:t>E. 1.2</w:t>
      </w:r>
    </w:p>
    <w:p>
      <w:r>
        <w:t>Nach § 25 lit. a des basel-landschaftlichen Gesetzes vom 16. Dezember 1993 über die Verfassungs- und Verwaltungsprozessordnung (Verwaltungsprozessordnung, VPO) beurteilt das Kantonsgericht als Verfassungsgericht Beschwerden betreffend Verfassungsmässigkeit von Erlassen. Gemäss § 27 Abs. 2 lit. b VPO können jedoch - nebst anderen, hier nicht interessierenden besonderen Erlassformen - Gesetze nicht angefochten werden. Damit steht gegen die hier fragliche Gesetzesbestimmung die Beschwerde in öffentlich-rechtlichen Angelegenheiten an das Bundesgericht grundsätzlich offen.</w:t>
      </w:r>
    </w:p>
    <w:p>
      <w:r>
        <w:rPr>
          <w:b/>
        </w:rPr>
        <w:t>E. 1.3</w:t>
      </w:r>
    </w:p>
    <w:p>
      <w:r>
        <w:t>Nach Art. 101 BGG ist die Beschwerde gegen einen Erlass innert 30 Tagen nach der nach dem kantonalen Recht massgebenden Veröffentlichung des Erlasses beim Bundesgericht einzureichen. Das Ergebnis der Volksabstimmung über die angefochtene Gesetzesnovelle vom 25. November 2007 wurde am 20. Dezember 2007 im Amtsblatt des Kantons Basel-Landschaft veröffentlicht. Die vorliegende Beschwerde wurde der Post am 21. Januar 2008 aufgegeben. Unter Berücksichtigung der Fristenregelung gemäss Art. 45 Abs. 1 BGG über das Wochenende bzw. des Fristenstillstandes nach Art. 46 Abs. 1 lit. c BGG erging sie mithin fristgerecht.</w:t>
      </w:r>
    </w:p>
    <w:p>
      <w:r>
        <w:rPr>
          <w:b/>
        </w:rPr>
        <w:t>E. 2.1</w:t>
      </w:r>
    </w:p>
    <w:p>
      <w:r>
        <w:t>Gemäss Art. 89 Abs. 1 lit. b und c BGG ist zur Anfechtung eines kantonalen Erlasses legitimiert, wer durch den Erlass aktuell oder virtuell besonders berührt ist und ein schutzwürdiges Interesse an dessen Änderung oder Aufhebung hat. Das schutzwürdige Interesse kann rechtlicher oder tatsächlicher Natur sein ( BGE 133 I 286 E. 2.2 S. 290). Virtuelles Berührtsein setzt voraus, dass der Beschwerdeführer von der angefochtenen Regelung früher oder später einmal mit einer minimalen Wahrscheinlichkeit unmittelbar betroffen ist (vgl. BGE 133 I 206 E. 2.1 S. 210). Zur Anfechtung eines kantonalen Steuererlasses sind grundsätzlich die im betroffenen Kanton Steuerpflichtigen legitimiert, d.h. diejenigen Personen, die dort ihren Wohnsitz haben ( BGE 130 I 174 E. 1.2 S. 176 f.). Es kann hier offen bleiben, wieweit die als AVLOCA-Praxis bekannte Rechtsprechung des Bundesgerichts betreffend Legitimation zur Anfechtung eines Erlasses wegen rechtsungleicher Begünstigung mit der früheren staatsrechtlichen Beschwerde (dazu BGE 109 Ia 252 ; 131 I 198 E. 2.6 S. 203; vgl. auch BGE 133 I 206 E. 2.2-2.4 S. 210 f.) auch auf die Beschwerde in öffentlich-rechtlichen Angelegenheiten zugeschnitten ist, woran immerhin angesichts der unterschiedlichen Voraussetzungen gewisse Zweifel bestehen. So oder so bildet ein Steuertarif ein unteilbares Ganzes, der als solcher den verfassungsrechtlichen Anforderungen genügen muss. Jeder Steuerpflichtige muss die Missachtung der verfassungsrechtlichen Grundsätze im Verfahren der abstrakten Normenkontrolle rügen können, selbst wenn sich ein andern Steuerpflichtigen gewährter Vorteil nicht unmittelbar zu seinem Nachteil auswirkt (vgl. BGE 133 I 206 E. 2.1-2.3 S. 210 f.). Nicht zulässig sind hingegen Beschwerden, die im Interesse der Allgemeinheit oder der richtigen Gesetzesanwendung geführt werden ( BGE 125 I 7 E. 3c S. 9; 123 II 376 E. 2 S. 378 f.; 121 II 39 E. 2c/aa S. 44; BERNHARD WALDMANN, in: Basler Kommentar zum Bundesgerichtsgesetz, Basel 2008, Art. 89 N 15 ).</w:t>
      </w:r>
    </w:p>
    <w:p>
      <w:r>
        <w:rPr>
          <w:b/>
        </w:rPr>
        <w:t>E. 2.2</w:t>
      </w:r>
    </w:p>
    <w:p>
      <w:r>
        <w:t>Die Beschwerdeführerinnen haben ihren Wohnsitz im Kanton Basel-Landschaft und sind dort steuerpflichtig. Damit unterstehen sie dem basel-landschaftlichen Steuertarif und sind von diesem als unteilbares Ganzes betroffen. Die hier zu entscheidende Streitsache des anwendbaren Steuersatzes bzw. der Rechtmässigkeit desselben stellt eine Tariffrage dar. Die Beschwerdeführerin 1 ist überdies Eigentümerin von Aktien. Selbst wenn davon ausgegangen würde, dass nur beschwerdeberechtigt ist, wer wenigstens virtuell Aktionär sein kann, trifft dies wenigstens auf die Beschwerdeführerin 1 zu. Auch die Beschwerdeführerinnen 2 und 3 könnten jederzeit Aktien als Vermögensanlage kaufen und wären damit durch die auf sie nicht anwendbare Privilegierung anderer Anteilsinhaber betroffen. Zudem sind sie (jedenfalls teilweise) als Einzelunternehmerinnen tätig, deren Geschäfte nicht als Kapitalgesellschaften oder Genossenschaften organisiert sind; sie haben insoweit keine Möglichkeit, von der angefochtenen Halbsatzbesteuerung zu profitieren. Zumindest die virtuelle Betroffenheit kann den Beschwerdeführerinnen daher nicht abgesprochen werden, weshalb sie zur Beschwerde legitimiert sind.</w:t>
      </w:r>
    </w:p>
    <w:p>
      <w:r>
        <w:rPr>
          <w:b/>
        </w:rPr>
        <w:t>E. 3.1</w:t>
      </w:r>
    </w:p>
    <w:p>
      <w:r>
        <w:t>Nach Art. 190 BV sind Bundesgesetze und Völkerrecht für das Bundesgericht und die anderen rechtsanwendenden Behörden massgebend. Damit kann Bundesgesetzen weder im Rahmen der abstrakten noch der konkreten Normenkontrolle die Anwendung versagt werden. Zwar handelt es sich dabei um ein Anwendungsgebot und kein Prüfungsverbot ( BGE 131 II 710 E. 5.4 S. 721; 129 II 249 E. 5.4 S. 263, mit Hinweisen; YVO HANGARTNER, in: Ehrenzeller/Mastronardi/ Schweizer/Vallender, Die schweizerische Bundesverfassung, St. Galler Kommentar, 2. Aufl., Zürich/Basel/Genf 2008, Bd. 2, N. 8 zu Art. 190 BV ), und es kann sich rechtfertigen, vorfrageweise die Verfassungswidrigkeit eines Bundesgesetzes zu prüfen; wird eine solche festgestellt, muss das Gesetz aber angewandt werden, und das Bundesgericht kann lediglich gegebenenfalls den Gesetzgeber einladen, die fragliche Bestimmung zu ändern. Freilich besteht nicht in jedem Fall die Veranlassung, die bundesgesetzliche Regelung auf ihre Vereinbarkeit mit höherrangigem Recht hin zu prüfen (vgl. das Urteil des Bundesgerichts 2C_61/2008 vom 28. Juli 2008, E. 1.3.2). Vielmehr hängt es von den Umständen des Einzelfalles ab, ob sich dies rechtfertigt. Im Rahmen einer abstrakten Normenkontrolle ist dafür entscheidend, ob ein genügendes allgemeines Interesse an der Feststellung einer allfälligen Verfassungswidrigkeit besteht.</w:t>
      </w:r>
    </w:p>
    <w:p>
      <w:r>
        <w:rPr>
          <w:b/>
        </w:rPr>
        <w:t>E. 3.2</w:t>
      </w:r>
    </w:p>
    <w:p>
      <w:r>
        <w:t>Im vorliegenden Fall ist eine kantonale Gesetzesbestimmung angefochten. Dafür gilt das Anwendungsgebot von Art. 190 BV grundsätzlich nicht. Auch der Umstand, dass der Bundesgesetzgeber eine Materie für seinen Kompetenzbereich, hier die direkte Bundessteuer, gleich oder ähnlich wie ein Kanton ordnet, schränkt die Befugnis des Bundesgerichts zur Überprüfung eines kantonalen Erlasses nicht ein; dabei ist sogar in Kauf zu nehmen, dass sich bei einer solchen Prüfung allenfalls Zweifel an der Verfassungsmässigkeit eines Bundesgesetzes ergeben können ( BGE 109 Ia 273 E. 2b S. 277 f.). Setzt das kantonale Steuergesetz jedoch unmittelbar Harmonisierungsrecht des Bundes um, das im Steuerharmonisierungsgesetz enthalten ist, greift das verfassungsrechtliche Anwendungsgebot auf das kantonale Recht durch. Das kantonale Steuergesetz, für welches das Anwendungsgebot an sich nicht gilt, wird davon als Umsetzungsakt der bundesgesetzlichen Ordnung erfasst (vgl. BGE 131 II 710 E. 5.4 S. 721). Auch diesfalls hängt es von den Umständen des Einzelfalles bzw. vom Vorliegen eines entsprechenden allgemeinen Feststellungsinteresses ab, ob sich die Prüfung der Vereinbarkeit mit dem Verfassungsrecht trotz Anwendungsgebots rechtfertigt.</w:t>
      </w:r>
    </w:p>
    <w:p>
      <w:r>
        <w:rPr>
          <w:b/>
        </w:rPr>
        <w:t>E. 3.3</w:t>
      </w:r>
    </w:p>
    <w:p>
      <w:r>
        <w:t>Bei einer abstrakten Normenkontrolle, namentlich bei der Überprüfung eines kantonalen Gesetzes, kann das Bundesgericht auch einer nachträglichen Änderung der Rechtslage Rechnung tragen und insbesondere neu in Kraft getretenes, übergeordnetes Recht mitberücksichtigen ( BGE 120 Ia 286 E. 2c/bb S. 291; 119 Ia 460 E. 4d S. 473, mit Hinweisen). Das kann aber nicht unbeschränkt gelten, sondern setzt einen engen Zusammenhang vor allem in sachlicher und zeitlicher Hinsicht voraus.</w:t>
      </w:r>
    </w:p>
    <w:p>
      <w:r>
        <w:rPr>
          <w:b/>
        </w:rPr>
        <w:t>E. 3.4</w:t>
      </w:r>
    </w:p>
    <w:p>
      <w:r>
        <w:t>Der neue Art. 7 Abs. 1 StHG erlaubt den Kantonen für Kapitalbeteiligungen von mindestens 10 % die Einführung einer Milderung der wirtschaftlichen Doppelbelastung. Entscheiden sich die Kantone für eine solche Milderung, müssen sie zwingend eine Mindestbeteiligung von 10 % verlangen, im Übrigen verfügen sie über einen gewissen Gestaltungsspielraum bei der kantonalen Regelung. Das gilt insbesondere für die Methode der Entlastung (Teilsatz-, Teilbesteuerungs- oder anderes Verfahren) und deren Umfang. Es ist den Kantonen namentlich überlassen, ob sie die wirtschaftliche Doppelbelastung von Körperschaft und Anteilsinhaber wie in der angefochtenen basel-landschaftlichen Regelung durch eine Reduktion des Steuersatzes oder wie in den neuen, parallel ergangenen Art. 18b und Art. 20 Abs. 1 lit. c und Abs. 1bis DBG durch eine bloss teilweise Besteuerung des Dividendenertrages mildern wollen. Dagegen wird in der Literatur zwar eingewendet, die bundesrechtliche Harmonisierung beziehe sich einzig auf das Steuerobjekt, d.h. die Bemessungsgrundlage, und nicht auf den anwendbaren Tarif; die Kantone könnten daher die Milderung bei der Dividendenbesteuerung lediglich durch eine besondere Definition des Steuerobjekts, nicht aber durch einen Sondertarif umsetzen (vgl. insbes. URS R. BEHNISCH, in: Ehrenzeller/Mastronardi/Schweizer/ Vallender, a.a.O., N. 28 zu Art. 129; DERS., Steuerwettbewerb trotz seiner Zähmung ein Stein des Anstosses, in Neue Zürcher Zeitung vom 21. Februar 2007). Beim Erlass von Art. 7 Abs. 1 StHG ging der Gesetzgeber aber klarerweise davon aus, dass der Bund die Kompetenz hat, unter Einhaltung einer gewissen Regelungsautonomie der Kantone beim Ausmass und bei der Art der Entlastung Lösungen zu treffen, die auch durch tarifliche Massnahmen umgesetzt werden können (vgl. BBl 2005 4796). Der Gesetzgeber stellte denn auch den Kantonen bewusst frei, Entlastungen wie der Bund in Form von Abzügen von der Bemessungsgrundlage oder aber Steuerermässigungen in Form eigentlicher tariflicher Massnahmen vorzusehen (BBl 2005 4868). Abgesehen davon kennt das Harmonisierungsrecht auch an anderer Stelle Sondertarife, so etwa in Art. 11 StHG .</w:t>
      </w:r>
    </w:p>
    <w:p>
      <w:r>
        <w:rPr>
          <w:b/>
        </w:rPr>
        <w:t>E. 3.5</w:t>
      </w:r>
    </w:p>
    <w:p>
      <w:r>
        <w:t>Die angefochtene kantonale Gesetzesbestimmung entspricht dem revidierten Art. 7 Abs. 1 StHG und wird von diesem seit dessen Inkrafttreten am 1. Januar 2009 inhaltlich gedeckt. Eine allfällige Verfassungswidrigkeit unterliegt daher seit dem 1. Januar 2009 dem Anwendungsgebot und lässt sich jedenfalls mit Wirkung ab diesem Zeitpunkt vom Bundesgericht nicht mehr korrigieren. Damit wird dem Antrag auf Aufhebung von § 34 Abs. 5 StG die Grundlage entzogen. Selbst im Falle, dass die angefochtene Bestimmung verfassungswidrig sein sollte, wäre es unverhältnismässig und würde es sich nicht rechtfertigen, diese Gesetzesnorm, die erst am 1. Januar 2008 in Kraft getreten ist, aufzuheben, und den Kanton nochmals in ein Gesetzgebungsverfahren zu zwingen, um eine gleich lautende Bestimmung zu erlassen, die nunmehr vom neuen Bundesgesetz gedeckt wäre. Unabhängig davon, ob die angefochtene kantonale Bestimmung und die hier nur vorfrageweise angesprochene neue bundesgesetzliche Norm verfassungskonform sind oder nicht, sind sie jedenfalls seit dem 1. Januar 2009 anwendbar.</w:t>
      </w:r>
    </w:p>
    <w:p>
      <w:r>
        <w:rPr>
          <w:b/>
        </w:rPr>
        <w:t>E. 4.1</w:t>
      </w:r>
    </w:p>
    <w:p>
      <w:r>
        <w:t>Es könnte sich immerhin fragen, ob etwas anderes zu gelten hätte, falls die kantonale Regelung über diejenige des Bundesrechts hinausginge, also insbesondere Erleichterungen gewähren würde, die vom Bundesrecht nicht mehr gedeckt wären, indem sie etwa nicht nur die wirtschaftliche Doppelbelastung beseitigen, sondern weitergehende Steuervorteile bieten würde. Die Beschwerdeführerinnen behaupten eine solche überschiessende Wirkung und versuchen sie mit Zahlenbeispielen zu belegen. Sie rügen insbesondere unter Bezugnahme auf einen entsprechenden Expertenbericht (BERICHT DER EXPERTENKOMMISSION RECHTSFORMNEUTRALE UNTERNEHMENSBESTEUERUNG [ERU], erstattet dem Eidgenössischen Finanzdepartement, Bern 2001), dass in der Mehrzahl der Fälle, in denen Kapitalgesellschaften von der neuen Begünstigung profitieren, gar keine wirtschaftliche Doppelbelastung bestehe, weshalb sich eine Korrektur auf Seiten des Aktionärs nur dann rechtfertigen liesse, wenn gleichzeitig der private Kapitalgewinn besteuert würde; ausserdem fiele die Entlastung bei der Dividendenbesteuerung auch im Vergleich zur Belastung eines entsprechenden Lohnbezugs zu hoch aus. Ob diese Behauptungen zutreffen und die angefochtene Regelung tatsächlich überschiessende Tendenz aufweist, was vom Regierungsrat des Kantons Basel-Landschaft bestritten wird, kann jedoch offen bleiben.</w:t>
      </w:r>
    </w:p>
    <w:p>
      <w:r>
        <w:rPr>
          <w:b/>
        </w:rPr>
        <w:t>E. 4.2</w:t>
      </w:r>
    </w:p>
    <w:p>
      <w:r>
        <w:t>Entscheidend ist in diesem Zusammenhang, dass die Frage der Verfassungskonformität der Unternehmenssteuerreform in Fachkreisen schon seit längerem diskutiert wurde (vgl. etwa den bereits erwähnten BERICHT DER EXPERTENKOMMISSION RECHTSFORMNEUTRALE UNTERNEHMENSBESTEUERUNG [ERU], erstattet dem Eidgenössischen Finanzdepartement, Bern 2001; BUNDESAMT FÜR JUSTIZ, Gutachten betreffend die Verfassungsmässigkeit einer Teilbesteuerung von Dividenden im Privatbesitz, erstattet der Eidg. Steuerverwaltung am 29. November 2006; ULRICH CAVELTI, Die Unternehmenssteuerreform II ist verfassungskonform, in Neue Zürcher Zeitung vom 29. Januar 2008; ETIENNE GRISEL, Rechtsgutachten zu Handen des Eidgenössischen Finanzdepartements vom 29. November 2006; CHRISTIAN KEUSCHNIGG/MARTIN D. DIETZ, Volkswirtschaftliche Auswirkungen der Unternehmenssteuerreform II, Gutachten im Auftrag der Eidgenössischen Steuerverwaltung vom 24. September 2002; RENÉ MATTEOTTI/MICHAEL FELBER, Verfassungsrechtliche Kritik an der Unternehmenssteuerreform II, Jusletter vom 11. Februar 2008; ROBERT WALDBURGER, Die Vorlage verletzt offenkundig die Verfassung, in Tagesanzeiger vom 22. Dezember 2007; ROBERT WALDBURGER/RUEDI BAUMANN, Zur Verfassungsmässigkeit der Milderung der wirtschaftlichen Doppelbelastung durch das Unternehmenssteuerreformgesetz II und das Steuergesetz des Kantons Basel-Landschaft, Gutachten vom 8. Januar 2008; vgl. auch MARKUS REICH, Die wirtschaftliche Doppelbelastung der Kapitalgesellschaften und ihrer Anteilsinhaber, Zürich 2000, 25 ff.). Dabei wurden in der Frage der Verfassungsmässigkeit von Entlastungsmassnahmen für die Dividendenbezüger, wie sie hier strittig sind, verschiedene Auffassungen vertreten. Unter anderem äusserten sogar Organe des Bundes mit guten Gründen gewisse Zweifel. Dies ist auch dem Gesetzgeber nicht entgangen und bildete ausdrücklich Thema der politischen Diskussionen sowie des Abstimmungskampfes.</w:t>
      </w:r>
    </w:p>
    <w:p>
      <w:r>
        <w:rPr>
          <w:b/>
        </w:rPr>
        <w:t>E. 4.3</w:t>
      </w:r>
    </w:p>
    <w:p>
      <w:r>
        <w:t>In der politischen Diskussion setzte sich dann aber mehr und mehr die Auffassung durch, die wirtschaftliche Doppelbelastung zwischen Dividendenbezüger und Gesellschaft sei zu beseitigen. Die Gesetzesrevision wurde mithin in Kenntnis der allfälligen verfassungsrechtlichen Fragwürdigkeit angenommen. Insbesondere war angesichts der im Gesetzgebungsverfahren beigezogenen Gutachten klar, dass die angestrebte Beseitigung der wirtschaftlichen Doppelbelastung weiterreichen könnte, als das rein rechnerisch erforderlich wäre. Der Gesetzgeber setzte sich jedoch namentlich unter Hinweis auf angebliche volkswirtschaftliche Gesichtspunkte und eine mögliche Änderung der Verhaltensweise der Beteiligten über solche Bedenken hinweg. Im Zusammenhang mit dem Steuerharmonisierungsgesetz war mit Blick auf die parallel laufenden und teilweise bereits abgeschlossenen kantonalen Gesetzgebungsverfahren ebenso klar, dass bei den Kantonen entsprechende Entlastungen von ebenfalls bis zu 50 % als zulässig erachtet werden sollten. Die Mehrheit der Stimmberechtigten ging dabei davon aus, dass die schliesslich gewählte Lösung bzw. erlassene Regelung verfassungsrechtlich zulässig sei. Erleichterungen in diesem Umfang sind daher durch den Bundesgesetzgeber abgedeckt. Dabei muss nicht in jedem Kanton aufgrund der konkreten Steuersätze der Nachweis erbracht werden, dass in jeder möglichen Konstellation die Entlastung nicht höher ausfällt als die tatsächliche Doppelbelastung. Es besteht demnach kein genügendes allgemeines Interesse an einer verfassungsrechtlichen Überprüfung des basel-landschaftlichen Halbsatzverfahrens im vom Bundesgesetz abgedeckten Rahmen. Nebst dem Bund haben im Übrigen inzwischen mindestens 18 Kantone mehr oder weniger parallel zum Gesetzgebungsverfahren des Bundes analoge Gesetzesrevisionen durchgeführt. Darüber kann sich das Bundesgericht nicht ohne stichhaltigen Grund hinwegsetzen.</w:t>
      </w:r>
    </w:p>
    <w:p>
      <w:r>
        <w:rPr>
          <w:b/>
        </w:rPr>
        <w:t>E. 4.4</w:t>
      </w:r>
    </w:p>
    <w:p>
      <w:r>
        <w:t>Fraglich erscheint allerdings, ob die bundesgesetzliche Regelung auch geeignet ist, die Besteuerung durch den Kanton im Jahre 2008 abzudecken. Die basel-landschaftliche Gesetzesnovelle ist bereits am 1. Januar 2008 und damit ein Jahr vor derjenigen des Bundes in Kraft getreten, weshalb dem Anwendungsgebot des Bundesgesetzes gewissermassen eine Art Vorwirkung zugesprochen werden muss, wenn es bereits für das Steuerjahr 2008 Folgen zeitigen soll. Entscheidend ist in diesem Zusammenhang jedoch der zeitliche Ablauf: Entsprechende Abklärungen durch die Bundesverwaltung liefen spätestens seit dem Jahre 2001 (vgl. den bereits erwähnten BERICHT DER EXPERTENKOMMISSION RECHTSFORMNEUTRALE UNTERNEHMENSBESTEUERUNG [ERU], erstattet dem Eidgenössischen Finanzdepartement, Bern 2001). Die eigentliche Gesetzesrevision des Bundes wurde vom Parlament am 23. März 2007 beschlossen, während diejenige des Kantons Basel-Landschaft vom 21. Juni 2007 datiert, also erst später erging. Der Kanton konnte allerdings seine Volksabstimmung schneller durchführen und die Revision schon auf das Jahr 2008 in Kraft setzen, während dies beim Bund erst ein Jahr später möglich war. Inhaltlich stehen die beiden Gesetzesänderungen in einem engen Zusammenhang. Die kantonale Revision kam eindeutig im Hinblick auf die parallel laufende Änderung der Bundesgesetzgebung zustande und bezweckte eine rasche Umsetzung der im Steuerharmonisierungsgesetz neu eingeführten Entlastungsmöglichkeit. Indem die kantonale Gesetzesnovelle in diesem Sinne das Ergebnis des Gesetzgebungsprozesses des Bundes vorwegnahm, ist sie daher inhaltlich auch dadurch gedeckt, selbst wenn das neue Bundesrecht erst ein Jahr später formell in Kraft trat. Damit besteht auch insofern kein genügendes allgemeines Interesse an einer weitergehenden Überprüfung der Verfassungsmässigkeit der ohnehin anwendbaren gesetzlichen Regelung.</w:t>
      </w:r>
    </w:p>
    <w:p>
      <w:r>
        <w:rPr>
          <w:b/>
        </w:rPr>
        <w:t>E. 5.1</w:t>
      </w:r>
    </w:p>
    <w:p>
      <w:r>
        <w:t>Demnach ist die Beschwerde abzuweisen.</w:t>
      </w:r>
    </w:p>
    <w:p>
      <w:r>
        <w:rPr>
          <w:b/>
        </w:rPr>
        <w:t>E. 5.2</w:t>
      </w:r>
    </w:p>
    <w:p>
      <w:r>
        <w:t>Bei diesem Verfahrensausgang werden die unterliegenden Beschwerdeführerinnen unter Solidarhaft kostenpflichtig (Art. 66 Abs. 1 und 5,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