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2C_629/2019 vom 19. Juli 2019</w:t>
      </w:r>
    </w:p>
    <w:p>
      <w:r>
        <w:t>Bundesgericht, 2019-07-19, DE</w:t>
      </w:r>
    </w:p>
    <w:p>
      <w:r>
        <w:rPr>
          <w:b/>
        </w:rPr>
        <w:t xml:space="preserve">Quelle: </w:t>
      </w:r>
      <w:r>
        <w:t>https://mcp.opencaselaw.ch/entscheid/bger_2C_629_2019</w:t>
      </w:r>
    </w:p>
    <w:p>
      <w:r>
        <w:t>FR: TF 2C_629/2019 du 19 juillet 2019</w:t>
      </w:r>
    </w:p>
    <w:p>
      <w:r>
        <w:t>IT: TF 2C_629/2019 del 19 luglio 2019</w:t>
      </w:r>
    </w:p>
    <w:p>
      <w:pPr>
        <w:pStyle w:val="Heading2"/>
      </w:pPr>
      <w:r>
        <w:t>Erwägungen</w:t>
      </w:r>
    </w:p>
    <w:p>
      <w:r>
        <w:rPr>
          <w:b/>
        </w:rPr>
        <w:t>E. 1.1</w:t>
      </w:r>
    </w:p>
    <w:p>
      <w:r>
        <w:t>Gegen letztinstanzliche kantonale Entscheide betreffend Zwangsmassnahmen im Ausländerrecht steht die Beschwerde in öffentlich-rechtlichen Angelegenheiten offen (Art. 82 lit. a, Art. 83 lit. c e contrario, Art. 86 Abs. 1 lit. d und Abs. 2 sowie Art. 90 BGG ). Der Beschwerdeführer ist gemäss Art. 89 Abs. 1 BGG zur Beschwerde in öffentlich-rechtlichen Angelegenheiten legitimiert, weshalb auf das frist- und formgerecht eingereichte Rechtsmittel grundsätzlich einzutreten ist (Art. 100 Abs. 1 und Art. 42 Abs. 1 und 2 BGG ).</w:t>
      </w:r>
    </w:p>
    <w:p>
      <w:r>
        <w:rPr>
          <w:b/>
        </w:rPr>
        <w:t>E. 1.2</w:t>
      </w:r>
    </w:p>
    <w:p>
      <w:r>
        <w:t>Der Beschwerdeführer beantragt die Feststellung einer Verletzung von Art. 6 Abs. 2 lit. c EMRK und Art. 29 BV . Feststellungsbegehren sind im bundesgerichtlichen Verfahren indes nur dann zulässig, wenn an der Feststellung ein schutzwürdiges Interesse besteht und dieses Interesse nicht ebenso gut mit einem Leistungsbegehren gewahrt werden kan (vgl. BGE 126 II 300 E. 2c S. 303; Urteile 2C_364+425/2015 vom 3. Februar 2017 E. 2.4, nicht publ. in: BGE 143 II 409 ; 2C_497/2017 vom 5. März 2018 E. 1). Der Beschwerdeführer macht nicht geltend, dass er an der beantragten Feststellung ein Interesse hätte, das über die ebenfalls beantragte Entlassung aus der Durchsetzungshaft hinausginge; ein solches Interesse ist auch nicht erkennbar. Aufgrund der Subsidiarität von Feststellungsbegehren ist auf den genannten Feststellungsantrag nicht einzutreten.</w:t>
      </w:r>
    </w:p>
    <w:p>
      <w:r>
        <w:rPr>
          <w:b/>
        </w:rPr>
        <w:t>E. 2</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w:t>
      </w:r>
    </w:p>
    <w:p>
      <w:r>
        <w:t>Seinem Urteil legt das Bundesgericht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3</w:t>
      </w:r>
    </w:p>
    <w:p>
      <w:r>
        <w:t>Der Beschwerdeführer macht geltend, die Verlängerung der Durchsetzungshaft sei unrechtmässig erfolgt.</w:t>
      </w:r>
    </w:p>
    <w:p>
      <w:r>
        <w:rPr>
          <w:b/>
        </w:rPr>
        <w:t>E. 3.1</w:t>
      </w:r>
    </w:p>
    <w:p>
      <w:r>
        <w:t>Die Durchsetzungshaft bildet das letzte Mittel, wenn und soweit keine andere Massnahme (mehr) zum Ziel führt, einen illegal anwesenden Ausländer auch gegen seinen Willen in seine Heimat verbringen zu können. Sie setzt voraus, dass ein rechtskräftiger Weg- oder Ausweisungsentscheid vorliegt, der Betroffene diesem nicht rechtzeitig freiwillig nachgekommen ist und der zwangsweise Vollzug der Weg- oder Ausweisung bzw. der Landesverweisung an einem ihm vorwerfbaren Verhalten scheitert. Zudem darf die Ausschaffungshaft nicht mehr zulässig sein und kein milderes Mittel zur Verfügung stehen, um den Haftzweck zu erreichen (Festhaltung zur Sicherung der Ausschaffung bzw. Durchsetzung der Ausreisepflicht, soweit diese von der Mitwirkung des Betroffenen abhängt; vgl. Art. 78 Abs. 1 AIG [SR 142.20]). Der mit der Durchsetzungshaft verbundene Freiheitsentzug steht im Einklang mit Art. 5 Ziff. 1 lit. f EMRK (Haft zur Sicherung eines schwebenden Ausweisungsverfahrens) und dient in diesem Rahmen der Durchsetzung einer durch das Gesetz vorgeschriebenen Verpflichtung des Betroffenen ( Art. 5 Ziff. 1 lit. b EMRK ; vgl. BGE 134 I 92 E. 2.3.1).</w:t>
      </w:r>
    </w:p>
    <w:p>
      <w:r>
        <w:rPr>
          <w:b/>
        </w:rPr>
        <w:t>E. 3.2</w:t>
      </w:r>
    </w:p>
    <w:p>
      <w:r>
        <w:t>Wie jedes staatliche Handeln muss die Durchsetzungshaft verhältnismässig sein. Innerhalb der Höchstdauer von 18 Monaten (vgl. Art. 79 AIG ) ist jeweils aufgrund der Umstände des Einzelfalles zu prüfen, ob die ausländerrechtliche Festhaltung insgesamt noch geeignet bzw. erforderlich erscheint und nicht gegen das Übermassverbot verstösst ( BGE 140 II 409 E. 2.1 S. 411; 135 II 105 E. 2.2.1 S. 107 ; 134 I 92 E. 2.3.1 und 2.3.2 S. 96 f.; 133 II 97 E. 2.2 S. 99 f.). Neben dem Verhalten der betroffenen Person bildet ihr erklärtes, konsequent unkooperatives Verhalten diesbezüglich nur einen - allenfalls aber gewichtigen - Gesichtspunkt unter anderen (vgl. Urteil 2C_1038/2018 vom 7. Dezember 2018 E. 2.3).</w:t>
      </w:r>
    </w:p>
    <w:p>
      <w:r>
        <w:rPr>
          <w:b/>
        </w:rPr>
        <w:t>E. 3.3</w:t>
      </w:r>
    </w:p>
    <w:p>
      <w:r>
        <w:t>Der Beschwerdeführer macht sinngemäss geltend, die Verlängerung der Durchsetzungshaft sei unverhältnismässig, weil feststehe, dass er zur Feststellung seiner Identität auch weiterhin nicht mit den Behörden zusammenarbeiten werde.</w:t>
      </w:r>
    </w:p>
    <w:p>
      <w:r>
        <w:t>Sein Einwand verfängt nicht. Die unter dem Gesichtspunkt der Verhältnismässigkeit erforderliche Eignung der Durchsetzungshaft ist nach der Rechtsprechung schon dann gegeben, wenn eine minimale Wahrscheinlichkeit dafür besteht, dass der renitente Ausländer dadurch sein Verhalten überdenkt und zur Durchführung der Wegweisung mit den Behörden kooperiert (vgl. Urteil 2C_441/2011 vom 15. Juni 2011 E. 2.2). Die Vorinstanz hat diesbezüglich festgestellt, die vom Gesetz vorgesehene maximale Haftdauer sei noch längstens nicht ausgeschöpft, und es sei deshalb nicht auszuschliessen, dass die Fortdauer der Inhaftierung den Beschwerdeführer noch zu einem Umdenken bewegen könne. Inwiefern diese Feststellung offensichtlich unrichtig sein soll, legt der Beschwerdeführer nicht dar; der abstrakte Hinweis auf allgemeine Erfahrungswerte genügt nicht, um entgegen der Vorinstanz im Falle des Beschwerdeführers davon auszugehen, die erforderliche minimale Wahrscheinlichkeit einer Verhaltensänderung sei ausgeschlossen.</w:t>
      </w:r>
    </w:p>
    <w:p>
      <w:r>
        <w:rPr>
          <w:b/>
        </w:rPr>
        <w:t>E. 3.4</w:t>
      </w:r>
    </w:p>
    <w:p>
      <w:r>
        <w:t>Der Beschwerdeführer bestreitet nicht, dass die Voraussetzungen für die Anordnung der Durchsetzungshaft (vgl. E. 3.2 hiervor) im Übrigen erfüllt sind. Die von der Vorinstanz bestätigte Verlängerung der Durchsetzungshaft erweist sich als rechtmässig.</w:t>
      </w:r>
    </w:p>
    <w:p>
      <w:r>
        <w:rPr>
          <w:b/>
        </w:rPr>
        <w:t>E. 4</w:t>
      </w:r>
    </w:p>
    <w:p>
      <w:r>
        <w:t>Der Beschwerdeführer beanstandet, ihm sei im vorinstanzlichen Verfahren verweigert worden, einen Rechtsvertreter beizuziehen.</w:t>
      </w:r>
    </w:p>
    <w:p>
      <w:r>
        <w:rPr>
          <w:b/>
        </w:rPr>
        <w:t>E. 4.1</w:t>
      </w:r>
    </w:p>
    <w:p>
      <w:r>
        <w:t>Der Anspruch auf rechtliches Gehör vermittelt einer Person das Recht, sich in Verwaltungs- und Gerichtsverfahren durch einen Rechtsvertreter ihrer Wahl vertreten zu lassen ( BGE 132 V 443 E. 3.3 S. 445). Mit seinen Vorbringen verkennt der Beschwerdeführer jedoch, dass die Vorinstanz ihm nie den Beizug eines Rechtsvertreters verweigert hat; die Verfügung der Vorinstanz vom 3. Juni 2019 bezieht sich vielmehr auf die Frage, ob ein allfällig beigezogener Rechtsvertreter vom Staat als unentgeltlicher Rechtsbeistand eingesetzt und entsprechend entschädigt würde.</w:t>
      </w:r>
    </w:p>
    <w:p>
      <w:r>
        <w:rPr>
          <w:b/>
        </w:rPr>
        <w:t>E. 4.2</w:t>
      </w:r>
    </w:p>
    <w:p>
      <w:r>
        <w:t>Eine allfällige Übernahme der Vertretungskosten durch den Staat bestimmt sich nach Massgabe von Art. 29 Abs. 3 BV (vgl. KIENER/ RÜTSCHE/KUHN, Öffentliches Verfahrensrecht, 2. Aufl. 2015, Rz. 246). Diese Bestimmung setzt voraus, dass die Beiordnung des unentgeltlichen Rechtsbeistands zur Wahrung der Rechte der betroffenen Person notwendig ist. In Bezug auf die Durchsetzungshaft geht das Bundesgericht davon aus, dass die Notwendigkeit der Verbeiständung insbesondere für die erste haftrichterliche Verhandlung zu bejahen ist, bei Haftverlängerungen alsdann (nur) noch bei besonderen Schwierigkeiten rechtlicher oder tatsächlicher Natur ( BGE 134 I 92 E. 4.1 S. 101 f.).</w:t>
      </w:r>
    </w:p>
    <w:p>
      <w:r>
        <w:t>Was den vorliegenden Fall betrifft, hat die Vorinstanz unter Zugrundelegung dieser Massstäbe nachvollziehbar festgestellt, der Sachverhalt sei nicht komplex und habe sich - soweit aus den Akten ersichtlich - seit der letzten Beurteilung der Angelegenheit nicht verändert; entsprechend sei die Beiordnung eines unentgeltlichen Rechtsbeistands (anders als noch bei der Verhandlung vom 7. Februar 2019) nicht notwendig. Der Beschwerdeführer bringt nichts vor, was diese Feststellung in Frage stellen könnte; seine Ausführungen, wonach es im Zusammenhang mit der Durchsetzungshaft "[k]eine einzige gut verständliche Bestimmung" gebe, zielen an der Sache vorbei, nachdem aus den verschiedenen Entscheiden zur Anordnung bzw. Verlängerung der Durchsetzungshaft klar hervorgeht, was diesbezüglich vorausgesetzt wird, und sich der Sachverhalt seit der erstmaligen Anordnung der Durchsetzungshaft nicht massgeblich geändert hat (vgl. auch Urteil 2C_724/2016 vom 21. Dezember 2016 E. 2.2 und 2.3). Auch bezüglich des Anspruchs auf Beziehung eines Rechtsbeistands verletzt der angefochtene Entscheid deshalb Bundesrecht nicht.</w:t>
      </w:r>
    </w:p>
    <w:p>
      <w:r>
        <w:rPr>
          <w:b/>
        </w:rPr>
        <w:t>E. 5</w:t>
      </w:r>
    </w:p>
    <w:p>
      <w:r>
        <w:t>Die Beschwerde erweist sich als unbegründet und ist abzuweisen, soweit darauf einzutreten ist.</w:t>
      </w:r>
    </w:p>
    <w:p>
      <w:r>
        <w:t>Bei diesem Verfahrensausgang wären die Gerichtskosten dem unterliegenden Beschwerdeführer aufzuerlegen ( Art. 66 Abs. 1 BGG ). Umständehalber ist auf die Erhebung von Gerichtskosten jedoch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