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2C_629/2008 vom 30. März 2009</w:t>
      </w:r>
    </w:p>
    <w:p>
      <w:r>
        <w:t>Bundesgericht, 2009-03-30, DE</w:t>
      </w:r>
    </w:p>
    <w:p>
      <w:r>
        <w:rPr>
          <w:b/>
        </w:rPr>
        <w:t xml:space="preserve">Quelle: </w:t>
      </w:r>
      <w:r>
        <w:t>https://mcp.opencaselaw.ch/entscheid/bger_2C_629_2008</w:t>
      </w:r>
    </w:p>
    <w:p>
      <w:r>
        <w:t>FR: TF 2C_629/2008 du 30 mars 2009</w:t>
      </w:r>
    </w:p>
    <w:p>
      <w:r>
        <w:t>IT: TF 2C_629/2008 del 30 marzo 2009</w:t>
      </w:r>
    </w:p>
    <w:p>
      <w:pPr>
        <w:pStyle w:val="Heading2"/>
      </w:pPr>
      <w:r>
        <w:t>Erwägungen</w:t>
      </w:r>
    </w:p>
    <w:p>
      <w:r>
        <w:rPr>
          <w:b/>
        </w:rPr>
        <w:t>E. 1.1</w:t>
      </w:r>
    </w:p>
    <w:p>
      <w:r>
        <w:t>Das Bundesgericht prüft von Amtes wegen und mit freier Kognition, ob und inwiefern auf eine Beschwerde einzutreten ist (BGE 134 Il 272 E. 1.1 S. 275, 120 E. 1 S. 121).</w:t>
      </w:r>
    </w:p>
    <w:p>
      <w:r>
        <w:rPr>
          <w:b/>
        </w:rPr>
        <w:t>E. 1.2</w:t>
      </w:r>
    </w:p>
    <w:p>
      <w:r>
        <w:t>Angefochten ist ein letztinstanzlicher kantonaler Endentscheid in einer Angelegenheit des öffentlichen Rechts, die unter keinen Ausschlussgrund gemäss Art. 83 BGG fällt und daher mit Beschwerde in öffentlich-rechtlichen Angelegenheiten an das Bundesgericht weitergezogen werden kann ( Art. 82 lit. a, Art. 86 Abs. 1 lit. d und Art. 90 BGG ).</w:t>
      </w:r>
    </w:p>
    <w:p>
      <w:r>
        <w:rPr>
          <w:b/>
        </w:rPr>
        <w:t>E. 1.3</w:t>
      </w:r>
    </w:p>
    <w:p>
      <w:r>
        <w:t>Gemäss Art. 89 Abs. 1 BGG ist zur Beschwerde in öffentlich-rechtlichen Angelegenheiten legitimiert, wer am vorinstanzlichen Verfahren teilgenommen hat, durch den angefochtenen Entscheid besonders berührt ist und ein schutzwürdiges Interesse an dessen Aufhebung oder Abänderung hat.</w:t>
      </w:r>
    </w:p>
    <w:p>
      <w:r>
        <w:t>Der Kanton Graubünden kennt eine kantonale, als sog. Erbmassesteuer ausgestaltete Nachlasssteuer (Art. 106 ff. des Steuergesetzes des Kantons Graubünden vom 8. Juni 1986) und ermächtigt die Gemeinden, ihrerseits (nach Massgabe eines kommunalen Gesetzes im formellen Sinne) eine Erbschaftssteuer zu erheben, welche (nach heutiger Rechtslage) in Form einer Erbanfallsteuer zu konzipieren ist (Art. 2 Abs. 3 lit. a, Art. 21 sowie Art. 26 ff. des bündnerischen Gesetzes über die Gemeinde- und Kirchensteuern vom 31. August 2006; vgl. zum Ganzen auch JÜRG ANDREA VON RECHENBERG, Bündner Erbschaftssteuern, Diss. Basel 1981, S. 33 ff. und S. 83 ff. MAGNUS HINDERSMANN/MICHAEL MYSSEN, Die Erbschafts- und Schenkungssteuern der Schweizer Kantone, Köln 2003, S. 481 ff.; ferner: ERNST BLUMENSTEIN/PETER LOCHER, System des schweizerischen Steuerrechts, 6. Aufl., Zürich 2002, S. 206). Bis anhin waren die Gemeinden frei, ihre kommunale Erbschaftssteuer alternativ auch als Nachlasssteuer auszugestalten (vgl. VON RECHENBERG, a.a.O., S. 91 ff., insbesondere S. 103). Vorliegend streitig ist einzig die Erhebung der kommunalen Erbschaftssteuer nach dem Steuergesetz der Gemeinde Churwalden vom 10. Dezember 1992 (vom Regierungsrat genehmigt am 18. Januar 1993; im Folgenden: Gemeindesteuergesetz, GStG). Gemäss Art. 13 GStG wird der Vermögensanfall besteuert; es liegt damit eine Erbanfallsteuer vor. Als Steuersubjekt und Steuerpflichtiger erscheint der Empfänger der Zuwendung und damit der einzelne Erbe (oder Vermächtnisnehmer) selber (vgl. Art. 14 GStG). Daran ändert nichts, dass die Steuer für alle steuerpflichtigen Erben gesamthaft bezogen wird und aus dem Nachlass vor dessen Verteilung zu bezahlen ist (Art. 18 GStG). Die Erbschaftssteuer wurde in der streitigen Veranlagungsverfügung denn auch individuell berechnet und für die einzelnen Begünstigten je gesondert ausgewiesen. Dass die genannte Verfügung (ausschliesslich) der Willensvollstreckerin zugestellt wurde, hängt - nebst allfälligen dieser obliegenden Verfahrenspflichten im erbschaftssteuerrechtlichen Veranlagungsverfahren - hauptsächlich damit zusammen, dass sie aufgrund ihrer Funktion als Verwalterin der Erbschaftswerte (Art. 518 in Verbindung mit Art. 596 Abs. 1 ZGB ) als primär Verfügungsberechtigte am für die Steuererhebung herangezogenen Substrat - dem unverteilten Nachlass - erscheint. Dass damit ausschliesslich sie selber (in Prozessstandschaft) befugt wäre, Rechtsmittel gegen eine erbschaftssteuerrechtliche Veranlagung einzulegen, trifft angesichts der den einzelnen Miterben obliegenden Steuerpflicht aber nicht zu. Insofern erscheint der Beschwerdeführer als allein beschwerdeführender steuerpflichtiger Miterbe als im Sinne von Art. 89 Abs. 1 BGG zur Ergreifung des vorliegenden Rechtsmittels legitimiert. Ein Fall von notwendiger Streitgenossenschaft (Erbengemeinschaft) oder Prozessstandschaft (Willensvollstrecker) liegt nicht vor.</w:t>
      </w:r>
    </w:p>
    <w:p>
      <w:r>
        <w:rPr>
          <w:b/>
        </w:rPr>
        <w:t>E. 1.4</w:t>
      </w:r>
    </w:p>
    <w:p>
      <w:r>
        <w:t>Zu beachten ist indessen, dass vorliegend - wie erwähnt - allein die Erhebung der kommunalen Erbschaftssteuer, wie sie in der Verfügung der Gemeindeverwaltung Churwalden vom 2. Februar 2005 gestützt auf das Gemeindesteuergesetz veranlagt wurde, Streitgegenstand bildet. Über die kantonale Nachlasssteuer wurde demgegenüber bereits zu einem früheren Zeitpunkt befunden (oben Sachverhalt lit. B). Die kantonale Steuerhoheit kann im vorliegenden, gegen den kommunalen Veranlagungsentscheid gerichteten Beschwerdeverfahren nicht (nochmals) wegen virtueller (interkantonaler) Doppelbesteuerung in Frage gestellt werden. Anders lägen die Dinge, wenn zwischenzeitlich oder inskünftig der Kanton Zürich einen Besteuerungsanspruch geltend machen würde, in welchem Fall sich der Beschwerdeführer gegen die aktuelle Doppelbesteuerung wehren und hiebei die Zulässigkeit der kantonalen Steuerhoheit des Kantons Graubünden, d.h. die kantonale Nachlasssteuer mitsamt der kommunalen Erbschaftssteuer, erneut zur Diskussion stellen könnte. Eine aktuelle Doppelbesteuerung wird jedoch nicht geltend gemacht und liegt soweit ersichtlich auch nicht vor. Im Übrigen bringt der Beschwerdeführer nichts vor, was die Berechtigung der Gemeinde Churwalden zur Erhebung der vorliegend streitigen kommunalen Erbschaftssteuer in Frage stellen oder die erhobene Steuer anderweitig als verfassungswidrig erscheinen lassen könnte. Seine Rügen beschränken sich auf solche in Zusammenhang mit der - bereits rechtskräftig beurteilten - kantonalen Steuerhoheit. Darauf ist im vorliegenden Beschwerdeverfahren jedoch nicht einzugehen.</w:t>
      </w:r>
    </w:p>
    <w:p>
      <w:r>
        <w:rPr>
          <w:b/>
        </w:rPr>
        <w:t>E. 1.5</w:t>
      </w:r>
    </w:p>
    <w:p>
      <w:r>
        <w:t>Auf die Beschwerde ist demzufolge nicht einzutreten.</w:t>
      </w:r>
    </w:p>
    <w:p>
      <w:r>
        <w:rPr>
          <w:b/>
        </w:rPr>
        <w:t>E. 2</w:t>
      </w:r>
    </w:p>
    <w:p>
      <w:r>
        <w:t>Bei diesem Ausgang sind die Kosten des bundesgerichtlichen Verfahrens dem Beschwerdeführer aufzuerlegen ( Art. 66 BGG ). Auf die Zusprechung von Parteientschädigungen besteht kein Anspruch, was namentlich auch für die in ihrem amtlichen Wirkungskreis obsiegende Gemeinde Churwalden gilt (vgl. Art. 68 Abs. 3 BGG ; BGE 134 II 117 E. 7 S. 118 f.).</w:t>
      </w:r>
    </w:p>
    <w:p>
      <w:r>
        <w:t>Für eine Aufhebung des vorinstanzlichen Entscheids im Kostenpunkt ( Art. 67 BGG ) oder die Zusprechung einer Parteientschädigung an den Beschwerdeführer für jenes Verfahren ( Art. 68 Abs. 5 BGG ) besteht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