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2C_628/2024 vom 13. Januar 2025</w:t>
      </w:r>
    </w:p>
    <w:p>
      <w:r>
        <w:t>Bundesgericht, 2025-01-13, IT</w:t>
      </w:r>
    </w:p>
    <w:p>
      <w:r>
        <w:rPr>
          <w:b/>
        </w:rPr>
        <w:t xml:space="preserve">Quelle: </w:t>
      </w:r>
      <w:r>
        <w:t>https://mcp.opencaselaw.ch/entscheid/bger_2C_628_2024</w:t>
      </w:r>
    </w:p>
    <w:p>
      <w:r>
        <w:t>FR: TF 2C_628/2024 du 13 janvier 2025</w:t>
      </w:r>
    </w:p>
    <w:p>
      <w:r>
        <w:t>IT: TF 2C_628/2024 del 13 gennaio 2025</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Visto che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persone fisiche e giuridiche con un interesse legittimo ad insorgere ( art. 89 cpv. 1 LTF ). Va quindi esaminata quale ricorso in materia di diritto pubblico (art. 82 segg. LTF; sentenza 2C_897/2022 del 6 settembre 2023 consid. 1.2). Ritenuto come dalla motivazione ben si comprende che gli insorgenti mirano al rilascio di un permesso per frontalieri al ricorrente 1, ad un'entrata in materia sul gravame non osta in effetti nemmeno la formulazione di conclusioni meramente cassatorie ( art. 107 cpv. 2 LTF ; sentenza 2C_832/2019 del 23 dicembre 2019 consid. 1.3).</w:t>
      </w:r>
    </w:p>
    <w:p>
      <w:r>
        <w:rPr>
          <w:b/>
        </w:rPr>
        <w:t>E. 2.1</w:t>
      </w:r>
    </w:p>
    <w:p>
      <w:r>
        <w:t>In presenza di un confronto con i contenuti del giudizio impugnato ( art. 42 cpv. 2 LTF ), il Tribunale federale applica il diritto federale d'ufficio ( art. 106 cpv. 1 LTF ). Esigenze più severe valgono in relazione alla denuncia della lesione di diritti fondamentali, che va formulata in modo preciso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ovvero arbitrari, o risultano da una violazione del diritto ai sensi dell' art. 95 LTF ( art. 105 cpv. 2 LTF ; DTF 140 III 115 consid. 2).</w:t>
      </w:r>
    </w:p>
    <w:p>
      <w:r>
        <w:rPr>
          <w:b/>
        </w:rPr>
        <w:t>E. 2.3</w:t>
      </w:r>
    </w:p>
    <w:p>
      <w:r>
        <w:t>Il gravame rispetta i requisiti di motivazione indicati solo in parte. Per quanto li leda, presentando critiche in contrasto con l' art. 42 cpv. 2 LTF e con l' art. 106 cpv. 2 LTF (attraverso il semplice richiamo a diritti fondamentali quali, ad esempio, la libertà economica, senza sostanziarne in modo preciso una violazione), non può essere approfondito.</w:t>
      </w:r>
    </w:p>
    <w:p>
      <w:r>
        <w:rPr>
          <w:b/>
        </w:rPr>
        <w:t>E. 3.1</w:t>
      </w:r>
    </w:p>
    <w:p>
      <w:r>
        <w:t>Al pari del Consiglio di Stato ticinese, la Corte cantonale ha tutelato l'agire delle autorità migratorie, che hanno negato al ricorrente 1 il rilascio di un permesso per frontalieri UE/AELS. Esposto il quadro legale di riferimento e fatto rinvio agli atti, anch'essa ha concluso: (a) che la B.________ Sagl, X.________, non ha una propria operatività effettiva, ma va considerata una ramificazione su suolo svizzero della ditta individuale A.________, con sede a Y.________, in provincia di Varese (I); (b) che le condizioni per riconoscere il diritto a un permesso per frontalieri UE/AELS a una persona che indica la B.________ Sagl, X.________, quale datrice di lavoro in Svizzera, non sono adempiute; (c) che non possono ritenersi lesi neppure il diritto alla parità di trattamento, il divieto di discriminazione o il principio di proporzionalità (giudizio impugnato, consid. 2-7).</w:t>
      </w:r>
    </w:p>
    <w:p>
      <w:r>
        <w:rPr>
          <w:b/>
        </w:rPr>
        <w:t>E. 3.2</w:t>
      </w:r>
    </w:p>
    <w:p>
      <w:r>
        <w:t>Gli insorgenti non concordano con il giudizio della Corte cantonale, che ritengono lesivo del diritto federale e del diritto internazionale.</w:t>
      </w:r>
    </w:p>
    <w:p>
      <w:r>
        <w:rPr>
          <w:b/>
        </w:rPr>
        <w:t>E. 4.1</w:t>
      </w:r>
    </w:p>
    <w:p>
      <w:r>
        <w:t>L' art. 7 cpv. 1 allegato I ALC definisce il lavoratore dipendente frontaliere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frontaliere dipendente una carta speciale valida per almeno cinque anni o per la durata dell'impiego, se questa è superiore a tre mesi o inferiore a un anno. La carta è rinnovata per almeno cinque anni, purché il lavoratore frontaliere dimostri di esercitare un'attività economica.</w:t>
      </w:r>
    </w:p>
    <w:p>
      <w:r>
        <w:t>Se le condizioni per il rilascio non sono (più) adempiute, il permesso per frontalieri UE/AELS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della Segreteria di Stato della migrazione,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2C_554/2024 del 18 dicembre 2024 consid. 4.3; 2C_264/2020 del 10 agosto 2021 consid. 4.2).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 il destinatario della prestazione rispettivamente lavorino in una succursale o in un'azienda che fa parte del gruppo imprenditoriale del datore di lavoro ( art. 1 cpv. 1 lett. a e b LDist ).</w:t>
      </w:r>
    </w:p>
    <w:p>
      <w:r>
        <w:rPr>
          <w:b/>
        </w:rPr>
        <w:t>E. 5.1</w:t>
      </w:r>
    </w:p>
    <w:p>
      <w:r>
        <w:t>Nel p.to 5 del ricorso, intitolato "violazione del diritto comunitario ( art. 7 allegato I ALC ) ", gli insorgenti contestano la conclusione del Tribunale amministrativo ticinese secondo cui la B.________ Sagl non svolge su suolo svizzero nessuna attività reale, effettiva e indipendente da quella della ditta individuale A.________, con sede in provincia di Varese (I).</w:t>
      </w:r>
    </w:p>
    <w:p>
      <w:r>
        <w:t>Benché si richiamino all' art. 7 allegato I ALC , riferendosi ai vari aspetti su cui si fonda la conclusione dei Giudici ticinesi i ricorrenti sollevano innanzitutto una questione che attiene all'accertamento dei fatti e/o all'apprezzamento delle prove, che il Tribunale federale rivede nell'ottica del divieto d'arbitrio e che richiede la formulazione di un'argomentazione precisa ( art. 106 cpv. 2 LTF ; DTF 143 IV 500 consid. 1.1; sentenza 2C_897/2022 del 6 settembre 2023 consid. 6.1).</w:t>
      </w:r>
    </w:p>
    <w:p>
      <w:r>
        <w:rPr>
          <w:b/>
        </w:rPr>
        <w:t>E. 5.2</w:t>
      </w:r>
    </w:p>
    <w:p>
      <w:r>
        <w:t>Nell'impugnativa, una lesione dell' art. 9 Cost. non viene però dimostrata perché gli insorgenti - che non si riferiscono mai al divieto d'arbitrio garantito dall' art. 9 Cost. e nemmeno sostengono che i fatti sarebbero stati accertati in maniera manifestamente inesatta o altrimenti lesiva del diritto ( art. 105 cpv. 2 LTF ) - si limitano a fornire una propria lettura della situazione e ciò non è sufficiente.</w:t>
      </w:r>
    </w:p>
    <w:p>
      <w:r>
        <w:t>Va infatti rilevato che l'arbitrio nell'accertamento della fattispecie e/o nell'apprezzamento delle prove è dato solo se l'istanza inferiore non ha manifestamente compreso il senso e la portata di un mezzo di prova, ha omesso di considerare un mezzo di prova pertinente senza un serio motivo o se, sulla base dei fatti raccolti, ha tratto deduzioni insostenibili e spetta quindi a chi insorge argomentare in che modo le singole prove avrebbero dovuto essere valutate, perché l'apprezzamento dell'autorità sia insostenibile e in che misura la lesione invocata sarebbe suscettibile di influenzare l'esito del litigio ( DTF 143 IV 500 consid. 1.1; sentenza 2C_186/2023 del 25 aprile 2023 consid. 6.1), ciò che non viene qui fatto. Anche nel caso in esame, sono quindi determinanti solo i fatti che risultano dal giudizio impugnato ( art. 105 cpv. 1 LTF ).</w:t>
      </w:r>
    </w:p>
    <w:p>
      <w:r>
        <w:rPr>
          <w:b/>
        </w:rPr>
        <w:t>E. 5.3</w:t>
      </w:r>
    </w:p>
    <w:p>
      <w:r>
        <w:t>Proprio alla luce di tali fatti, nemmeno si può però ravvisare una violazione dell' art. 7 allegato I ALC da parte della Corte cantonale, nell'avere negato al ricorrente 1 il diritto al permesso per frontalieri UE/AELS dopo avere constatato che la B.________ Sagl, da lui indicata quale datrice di lavoro, non svolgeva nessuna attività indipendente su suolo svizzero ed era una ramificazione dell'attività lavorativa svolta in Italia. In effetti, il diniego del permesso si basa tra l'altro sui seguenti accertamenti (giudizio impugnato, consid. 4) :</w:t>
      </w:r>
    </w:p>
    <w:p>
      <w:r>
        <w:t>(a) che la B.________ Sagl e la ditta individuale A.________, con sede in provincia di Varese (I), operano nello stesso settore, in quanto anche quest'ultima - al pari della prima (precedente consid. A) - ha per scopo la realizzazione di costruzioni in ferro e inox, di serramenti in alluminio, di porte, finestre e telai, imposte, cancelli metallici, cancelli, parapetti, chiusure di sicurezza, ecc.;</w:t>
      </w:r>
    </w:p>
    <w:p>
      <w:r>
        <w:t>(b) che il ricorrente 1 riveste ruoli "chiave" in entrambi i contesti, perché è socio e presidente della gerenza, con firma individuale, della B.________ Sagl ed è titolare della ditta individuale italiana che porta il suo stesso nome;</w:t>
      </w:r>
    </w:p>
    <w:p>
      <w:r>
        <w:t>(c) che il ricorrente 1 - che risiede in provincia di Varese (I), in una località prossima a quella in cui ha sede la ditta individuale - è il solo dipendente della B.________ Sagl, per la quale opera a tempo parziale (60 %), mentre continua ad operare in nome proprio anche in Italia;</w:t>
      </w:r>
    </w:p>
    <w:p>
      <w:r>
        <w:t>(d) che, nonostante l'entità dell'attività indicata attraverso la produzione di documenti vari, la B.________ Sagl ha per l'appunto un solo dipendente a tempo parziale (60 %), che si occuperebbe della presa di contatto con la clientela, dell'attività di redazione di preventivi e offerte, così come dell'emissione di fatture e dei pagamenti;</w:t>
      </w:r>
    </w:p>
    <w:p>
      <w:r>
        <w:t>(e) che essa non dispone di uffici suoi, ma si appoggia sulla fiduciaria C.________ Sagl, X.________, al cui recapito ha pure la sua sede;</w:t>
      </w:r>
    </w:p>
    <w:p>
      <w:r>
        <w:t>(f) che il "ruolo funzionale" della B.________ Sagl nei confronti della ditta individuale A.________, è attestato anche dal fatto che le fatture emesse inizialmente dalla società svizzera riportavano il numero di telefono e l'indirizzo di posta elettronica della ditta italiana e che, anche successivamente all'aggiunta del numero di telefono svizzero, l'indicazione delle coordinate italiane è stata mantenuta (nel medesimo senso, cfr. le sentenze del Tribunale federale 2C_497/2023 dell'8 gennaio 2024 consid. 5.3 [caso relativo a società con un solo dipendente a tempo parziale]; 2C_496/2023 del 5 ottobre 2023 consid. 5.3; 2C_897/2022 del 6 settembre 2023 consid. 6.3; 2C_185/2023 del 28 agosto 2023 consid. 7.3; 2C_154/2023 dell'8 agosto 2023 consid. 5; 2C_231/2023 dell'11 luglio 2023 consid. 6.1 [caso relativo a una società che era una diramazione di una ditta individuale italiana]; 2C_264/2020 del 10 agosto 2021 consid. 5.2).</w:t>
      </w:r>
    </w:p>
    <w:p>
      <w:r>
        <w:rPr>
          <w:b/>
        </w:rPr>
        <w:t>E. 5.4</w:t>
      </w:r>
    </w:p>
    <w:p>
      <w:r>
        <w:t>Ad una conclusione più favorevole agli insorgenti non conduce il richiamo al diritto di stabilimento riconosciuto dall'art. 49 segg. del Trattato sul funzionamento dell'Unione europea (TFUE), accompagnato dall'indicazione che "per libertà di stabilimento si intende la possibilità di costituire e gestire un'impresa o intraprendere una qualsiasi attività economica in un Paese della Comunità Europea, anche tramite l'apertura di agenzie, filiali e succursali" (ricorso, pag. 12).</w:t>
      </w:r>
    </w:p>
    <w:p>
      <w:r>
        <w:t>In effetti, in discussione non è l'attività imprenditoriale del ricorrente 1 e la facoltà di aprire "agenzie, filiali e succursali" nel nostro Paese. Diversamente, ciò che andava verificato era se egli adempisse alle condizioni per ottenere un permesso per svolgere, quale frontaliere giusta l' art. 7 allegato I ALC , un'attività dipendente per una società a garanzia limitata con sede in Svizzera, oppure se gli fosse lecito esercitare una professione in Svizzera soltanto nel quadro di quanto previsto dalla legge federale sui lavoratori distaccati ( art. 1 cpv. 1 lett. a e b LDist ; precedente consid. 4.3). Anche da questa critica emerge comunque bene l'approccio del ricorrente 1 che - in linea con ciò che risulta dal precedente considerando 5.3 - non è quello di un semplice lavoratore dipendente, bensì di un imprenditore che vorrebbe svolgere la propria attività al di qua e al di là dal confine, attraverso strutture che egli stesso definisce come "agenzie, filiali e succursali" su suolo svizzero.</w:t>
      </w:r>
    </w:p>
    <w:p>
      <w:r>
        <w:rPr>
          <w:b/>
        </w:rPr>
        <w:t>E. 6</w:t>
      </w:r>
    </w:p>
    <w:p>
      <w:r>
        <w:t>Nel p.to 6 del ricorso, gli insorgenti lamentano inoltre una violazione dell' art. 2 ALC , che vieta discriminazioni basate sulla nazionalità, e dell' art. 4 ALC , secondo cui il diritto di accesso a un'attività economica è garantito. Anche questa censura non può essere tuttavia condivisa.</w:t>
      </w:r>
    </w:p>
    <w:p>
      <w:r>
        <w:rPr>
          <w:b/>
        </w:rPr>
        <w:t>E. 6.1</w:t>
      </w:r>
    </w:p>
    <w:p>
      <w:r>
        <w:t>L' art. 4 ALC indica infatti che il diritto di soggiorno e di accesso a un'attività economica in base all'accordo sulla libera circolazione delle persone è garantito "conformemente alle disposizioni dell'allegato I".</w:t>
      </w:r>
    </w:p>
    <w:p>
      <w:r>
        <w:t>Come visto, il diniego del permesso per frontalieri al ricorrente 1 è però conforme all' art. 7 allegato I ALC , perché - alla luce dei fatti accertati ( art. 105 cpv. 1 LTF ) - un'attività reale, effettiva e duratura della B.________ Sagl non può essere riconosciuta (sentenza 2C_897/2022 del 6 settembre 2023 consid. 7.1).</w:t>
      </w:r>
    </w:p>
    <w:p>
      <w:r>
        <w:rPr>
          <w:b/>
        </w:rPr>
        <w:t>E. 6.2</w:t>
      </w:r>
    </w:p>
    <w:p>
      <w:r>
        <w:t>Nella misura in cui i ricorrenti si richiamano all' art. 2 ALC , in relazione con l' art. 9 allegato I ALC , va invece rilevato che essi non indicano nessuna discriminazione (diretta o indiretta) in base alla nazionalità e che una simile fattispecie non balza nemmeno altrimenti all'occhio.</w:t>
      </w:r>
    </w:p>
    <w:p>
      <w:r>
        <w:t>Difatti, non è qui in discussione nessun tipo di discriminazione, segnatamente dovuta all'applicazione di norme del diritto nazionale (sentenze 2C_661/2019 del 17 marzo 2021 consid. 5.1; 2C_636/2018 del 12 maggio 2020 consid. 9.1), ma è come detto litigiosa la questione se il ricorrente 1 adempia alle condizioni per richiamarsi all' art. 7 allegato I ALC oppure no e gli sia lecito esercitare in Svizzera nel quadro di quanto previsto per i prestatori di servizi giusta l' art. 5 cpv. 1 ALC in relazione con gli art. 17 segg. allegato I ALC (precedente consid. 4.3).</w:t>
      </w:r>
    </w:p>
    <w:p>
      <w:r>
        <w:rPr>
          <w:b/>
        </w:rPr>
        <w:t>E. 7</w:t>
      </w:r>
    </w:p>
    <w:p>
      <w:r>
        <w:t>Nel p.to 7 del ricorso, gli insorgenti denunciano infine una violazione del principio della proporzionalità, il cui rispetto è prescritto nel diritto interno dall'art. 96 della legge federale del 16 dicembre 2005 sugli stranieri e la loro integrazione (LStrI; RS 142.20).</w:t>
      </w:r>
    </w:p>
    <w:p>
      <w:r>
        <w:rPr>
          <w:b/>
        </w:rPr>
        <w:t>E. 7.1</w:t>
      </w:r>
    </w:p>
    <w:p>
      <w:r>
        <w:t>Essi indicano che, qualora la decisione del Tribunale amministrativo ticinese venisse confermata, la lesione del principio richiamato sarebbe evidente siccome - non potendo nemmeno riferirsi alla procedura relativa ai lavoratori distaccati, perché permette di lavorare in Svizzera unicamente per un periodo di 90 giorni per anno civile - non potrebbero più operare nel nostro Paese.</w:t>
      </w:r>
    </w:p>
    <w:p>
      <w:r>
        <w:rPr>
          <w:b/>
        </w:rPr>
        <w:t>E. 7.2</w:t>
      </w:r>
    </w:p>
    <w:p>
      <w:r>
        <w:t>Così argomentando, non considerano tuttavia: (a) che la distinzione tra lavoratori dipendenti al beneficio di permessi per frontalieri ( art. 7 cpv. 1 allegato I ALC ) e lavoratori distaccati da prestatori di servizi esteri ( art. 5 cpv. 1 ALC in relazione con gli art. 17 segg. allegato I ALC) è prevista dall'ALC; (b) che quando le condizioni per un richiamo ad un diritto di lavorare in Svizzera in base all' art. 7 allegato I ALC non sono date, come è il caso anche nella fattispecie (precedente consid. 5), il richiamo all' art. 96 LStrI non può assumere nessuna portata propria (sentenza 2C_897/2022 del 6 settembre 2023 consid. 8.2.3); (c) che restano in tal caso aperte solo le altre ipotesi previste dall'accordo sulla libera circolazione delle persone.</w:t>
      </w:r>
    </w:p>
    <w:p>
      <w:r>
        <w:rPr>
          <w:b/>
        </w:rPr>
        <w:t>E. 8</w:t>
      </w:r>
    </w:p>
    <w:p>
      <w:r>
        <w:t>Per quanto precede, il ricorso dev'essere respinto. Le spese giudiziarie sono poste a carico dei ricorrenti, in solido ( art. 66 cpv. 1 e cpv. 5 LTF ).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