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625/2019 vom 1. Juli 2019</w:t>
      </w:r>
    </w:p>
    <w:p>
      <w:r>
        <w:t>Bundesgericht, 2019-07-01, FR</w:t>
      </w:r>
    </w:p>
    <w:p>
      <w:r>
        <w:rPr>
          <w:b/>
        </w:rPr>
        <w:t xml:space="preserve">Quelle: </w:t>
      </w:r>
      <w:r>
        <w:t>https://mcp.opencaselaw.ch/entscheid/bger_2C_625_2019</w:t>
      </w:r>
    </w:p>
    <w:p>
      <w:r>
        <w:t>FR: TF 2C 625/2019 du 1 juillet 2019</w:t>
      </w:r>
    </w:p>
    <w:p>
      <w:r>
        <w:t>IT: TF 2C 625/2019 del 1 luglio 2019</w:t>
      </w:r>
    </w:p>
    <w:p>
      <w:pPr>
        <w:pStyle w:val="Heading2"/>
      </w:pPr>
      <w:r>
        <w:t>Regeste</w:t>
      </w:r>
    </w:p>
    <w:p>
      <w:r>
        <w:t>Refus d'octroi d'une autorisation de séjour; irrecevabilité de la demande de reconsidération et renvoi de Suisse | Droit de cité et droit des étrangers</w:t>
      </w:r>
    </w:p>
    <w:p>
      <w:pPr>
        <w:pStyle w:val="Heading2"/>
      </w:pPr>
      <w:r>
        <w:t>Erwägungen</w:t>
      </w:r>
    </w:p>
    <w:p>
      <w:r>
        <w:rPr>
          <w:b/>
        </w:rPr>
        <w:t>E. 1</w:t>
      </w:r>
    </w:p>
    <w:p>
      <w:r>
        <w:t>Par arrêt du 29 mai 2019, le Tribunal cantonal du canton de Vaud a confirmé la décision du Service de la population du canton de Vaud du 2 avril 2019 déclarant irrecevable une nouvelle demande de réexamen tendant à l'octroi d'une autorisation de séjour pour cas de rigueur en faveur de A.________, qui séjourne et travaille en Suisse illégalement depuis 1990.</w:t>
      </w:r>
    </w:p>
    <w:p>
      <w:r>
        <w:rPr>
          <w:b/>
        </w:rPr>
        <w:t>E. 2</w:t>
      </w:r>
    </w:p>
    <w:p>
      <w:r>
        <w:t>Par courrier du 26 juin 2019, A.________ a adressé au Tribunal fédéral un recours dans lequel il fait part de son souhait de rester en Suisse. Il demande le bénéfice de l'assistance judiciaire.</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 art. 30 al. 1 let. b LEI ne confère aucun droit au recourant, de sorte que seule reste ouverte la voie du recours constitutionnel subsidiaire pour violation des droits constitutionnels ( art. 116 LTF ). Le recourant n'invoque la violation d'aucun droit constitutionnel et le Tribunal fédéral ne peut pas en examiner le respect d'office ( art. 106 al. 2 et 117 LTF ).</w:t>
      </w:r>
    </w:p>
    <w:p>
      <w:r>
        <w:rPr>
          <w:b/>
        </w:rPr>
        <w:t>E. 4</w:t>
      </w:r>
    </w:p>
    <w:p>
      <w:r>
        <w:t>Le recours est ainsi manifestement irrecevable ( art. 108 al. 1 let. a LTF ) et doit être traité selon la procédure simplifiée de l' art. 108 LTF , sans qu'il y ait lieu d'ordonner un échange d'écritures. Le recours était dénué de chances de succès, de sorte que la demande d'assistance judiciaire est rejetée (cf. art. 64 LTF ).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