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622/2023 vom 15. November 2023</w:t>
      </w:r>
    </w:p>
    <w:p>
      <w:r>
        <w:t>Bundesgericht, 2023-11-15, DE</w:t>
      </w:r>
    </w:p>
    <w:p>
      <w:r>
        <w:rPr>
          <w:b/>
        </w:rPr>
        <w:t xml:space="preserve">Quelle: </w:t>
      </w:r>
      <w:r>
        <w:t>https://mcp.opencaselaw.ch/entscheid/bger_2C_622_2023</w:t>
      </w:r>
    </w:p>
    <w:p>
      <w:r>
        <w:t>FR: TF 2C 622/2023 du 15 novembre 2023</w:t>
      </w:r>
    </w:p>
    <w:p>
      <w:r>
        <w:t>IT: TF 2C 622/2023 del 15 novembre 2023</w:t>
      </w:r>
    </w:p>
    <w:p>
      <w:pPr>
        <w:pStyle w:val="Heading2"/>
      </w:pPr>
      <w:r>
        <w:t>Regeste</w:t>
      </w:r>
    </w:p>
    <w:p>
      <w:r>
        <w:t>Amtshilfe (DBA CH-IN)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 werfen zunächst eine Frage im Zusammenhang mit dem völkerrechtlichen Vertrauensprinzip auf.</w:t>
      </w:r>
    </w:p>
    <w:p>
      <w:r>
        <w:rPr>
          <w:b/>
        </w:rPr>
        <w:t>E. 1.2.1</w:t>
      </w:r>
    </w:p>
    <w:p>
      <w:r>
        <w:t>Die Beschwerdeführer führen aus, die ersuchende Behörde beziehe sich in ihrem Amtshilfeersuchen vom 25. August 2021 auf eine auf einem elektronischen Speichermedium gespeicherte Excel-Datei. Das Speichermedium sei angeblich bei einer Hausdurchsuchung bei der von der Amtshilfe formell betroffenen Person gefunden worden. Das Speichermedium enthalte angeblich E-Mails, die eine Verbindung zwischen den beiden Beschwerdeführern und der betroffenen Person herstellen würden. Die Vorinstanz komme sodann mit Verweisung auf das völkerrechtliche Vertrauensprinzip zum Schluss, dass auf die Angaben der ersuchenden Behörde zur Herkunft des Speichermediums abzustellen sei. Die Beschwerdeführer hätten allerdings die Sachverhaltsdarstellung der ersuchenden Behörde widerlegt, womit die Vermutung des guten Glaubens als umgestossen zu gelten habe. Es stelle sich daher die grundsätzliche Frage, ob die ersuchende Behörde mit den Angaben zur Herkunft der Beweismittel respektive mit der Verweisung auf mutmasslich gefälschte Dokumente den Grundsatz von Treu und Glauben verletze.</w:t>
      </w:r>
    </w:p>
    <w:p>
      <w:r>
        <w:rPr>
          <w:b/>
        </w:rPr>
        <w:t>E. 1.2.2</w:t>
      </w:r>
    </w:p>
    <w:p>
      <w:r>
        <w:t>Nach der ständigen bundesgerichtlichen Rechtsprechung zum Erfordernis der voraussichtlichen Erheblichkeit sowie zum Grundsatz von Treu und Glauben gilt, dass die ersuchte Behörde nicht zu entscheiden hat, ob der im Amtshilfeersuchen dargestellte Sachverhalt gänzlich der Realität entspricht. Sie muss lediglich überprüfen, ob die ersuchten Informationen einen Bezug zu diesem Sachverhalt haben (vgl. BGE 144 II 206 E. 4.3; 143 II 185 E. 3.3.2; 142 II 161 E. 2.1.1). Der ersuchte Staat kann Auskünfte daher nur verweigern, wenn ein Zusammenhang zwischen den verlangten Angaben und der Untersuchung wenig wahrscheinlich erscheint (vgl. BGE 143 II 185 E. 3.3.2; 141 II 436 E. 4.4.3). Folglich beschränkt sich die Rolle der Steuerbehörden des ersuchten Staats im Wesentlichen auf die Prüfung der Plausibilität des Ersuchens (vgl. BGE 142 II 161 E. 2.1.1; vgl. auch Urteil 2C_241/2016 vom 7. April 2017 E. 5.4).</w:t>
      </w:r>
    </w:p>
    <w:p>
      <w:r>
        <w:rPr>
          <w:b/>
        </w:rPr>
        <w:t>E. 1.2.3</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jedoch nur aufgrund konkreter, nachgewiesener Anhaltspunkte umgestossen werden (vgl. BGE 146 II 150 E. 7.1; 144 II 206 E. 4.4; Urteil 2C_241/2016 vom 7. April 2017 E. 5.5).</w:t>
      </w:r>
    </w:p>
    <w:p>
      <w:r>
        <w:rPr>
          <w:b/>
        </w:rPr>
        <w:t>E. 1.2.4</w:t>
      </w:r>
    </w:p>
    <w:p>
      <w:r>
        <w:t>Die Vorinstanz hat ausführlich geprüft, ob auf die Angaben der ersuchenden Behörde abzustellen ist. Sie kommt zum Schluss, es ergäben sich keine Hinweise darauf, dass das Speichermedium mit den dem Amtshilfeersuchen zugrunde liegenden Daten aus einer strafbaren Handlung stammten. Die Beschwerdeführer, so die Vorinstanz, vermöchten die Sachverhaltsdarstellung der ersuchenden Behörde nicht in Zweifel zu ziehen. Sie würden auch nicht geltend machen, die Hausdurchsuchung sei rechtswidrig erfolgt. Folglich sei auf die Angaben der ersuchenden Behörde zu vertrauen (vgl. E. 4.1.4 des angefochtenen Urteils). Was die Beschwerdeführer gegen die vorinstanzliche Würdigung vorbringen, stellt lediglich eine Kritik an der einzelfallspezifischen Anwendung des völkerrechtlichen Vertrauensprinzips dar. Damit gelingt es ihnen allerdings nicht, eine Rechtsfrage von grundsätzlicher Bedeutung im Sinne von Art. 84a BGG aufzuwerfen.</w:t>
      </w:r>
    </w:p>
    <w:p>
      <w:r>
        <w:rPr>
          <w:b/>
        </w:rPr>
        <w:t>E. 1.3</w:t>
      </w:r>
    </w:p>
    <w:p>
      <w:r>
        <w:t>Die Beschwerdeführer stellen eine weitere Rechtsfrage im Zusammenhang mit der Übermittlung von Informationen von Drittpersonen und deren Recht auf Privatsphäre.</w:t>
      </w:r>
    </w:p>
    <w:p>
      <w:r>
        <w:rPr>
          <w:b/>
        </w:rPr>
        <w:t>E. 1.3.1</w:t>
      </w:r>
    </w:p>
    <w:p>
      <w:r>
        <w:t>Die Beschwerdeführer bringen vor, die Übermittlung ihrer Personendaten stellten einen schweren Eingriff in ihre Privatsphäre dar. Dieser Eingriff wiege umso schwerer, als es sich bei ihnen nicht um von der Amtshilfe betroffene Personen handle, sie in Indien nicht steuerpflichtig und die Informationen daher nicht für ihre Veranlagung von Interesse seien. Das Bundesgericht habe sich zwar zur Frage der Schwärzung von Personendaten der Bankmitarbeitenden geäussert. Allerdings sei nicht geklärt, welche Angaben bei den nicht vom Amtshilfeverfahren betroffenen Personen als voraussichtlich erheblich gelten würden und welche Daten mit Blick auf das verfassungsmässige Verhältnismässigkeitsprinzip nur geschwärzt übermittelt werden dürften.</w:t>
      </w:r>
    </w:p>
    <w:p>
      <w:r>
        <w:rPr>
          <w:b/>
        </w:rPr>
        <w:t>E. 1.3.2</w:t>
      </w:r>
    </w:p>
    <w:p>
      <w:r>
        <w:t>Den Beschwerdeführern ist nicht zu folgen: Das Bundesgericht hat sich bereits ausführlich mit dem Verhältnis zwischen der Übermittlung von voraussichtlich erheblichen Daten von durch das Amtshilfeverfahren nicht unmittelbar betroffenen Personen und ihrer Privatsphäre sowie ihrem Recht auf informationelle Selbstbestimmung auseinandergesetzt (vgl. BGE 148 II 349 E. 5.3; vgl. auch Urteil 2C_376/2019 vom 13. Juli 2020 E. 7.2 f.). Im Weiteren hat es sich erst kürzlich wieder mit Hinweis auf seine ständige Rechtsprechung zu Art. 4 Abs. 3 StAhiG geäussert (vgl. Urteil 2C_270/2022 vom 27. September 2023 E. 1.1.3) und dabei ausgeführt, die Übermittlung der Informationen zu Drittpersonen werde zugelassen, wenn sie mit Blick auf den vom ersuchenden Staat verfolgten Steuerzweck voraussichtlich erheblich und somit auch verhältnismässig ist, weil eine Unterbindung der Information das Amtshilfeersuchen seines Sinnes entleeren würde (vgl. BGE 144 II 29 E. 4.2.3 i.f.; 143 II 506 E. 5.2.1; 142 II 161 E. 4.6.1; Urteile 2C_270/2022 vom 27. September 2023 E. 4.5.2; 2C_703/2020 vom 15. März 2021 E. 4.2.3; 2C_537/2019 vom 13. Juli 2020 E. 4.3, nicht publ. in: BGE 147 II 13 ).</w:t>
      </w:r>
    </w:p>
    <w:p>
      <w:r>
        <w:rPr>
          <w:b/>
        </w:rPr>
        <w:t>E. 1.3.3</w:t>
      </w:r>
    </w:p>
    <w:p>
      <w:r>
        <w:t>Die Vorinstanz hat nachvollziehbar beurteilt, ob zwischen den Beschwerdeführern und der von der Amtshilfe formell betroffenen Person einen hinreichenden Zusammenhang besteht. Sie gelangt zum Schluss, es sei aufgrund der Angaben plausibel, dass die von der Amtshilfe betroffene Person die Verfügungsbefugnisse über die Bankkonten der Beschwerdeführer gehabt hätte. Deshalb, so die Vorinstanz folgernd, erweise sich die Übermittlung der ersuchten Informationen voraussichtlich erheblich und verhältnismässig (vgl. E. 4.2.4 des angefochtenen Urteils). Die Beanstandungen der Beschwerdeführer und ihr Hinweis auf den Eingriff in ihre Privatsphäre betreffen lediglich die vorinstanzliche Rechtsanwendung im vorliegenden Einzelfall. Damit vermögen sie aber keine Rechtsfrage von grundsätzlicher Bedeutung im Sinne von Art. 84a BGG aufzuzeigen.</w:t>
      </w:r>
    </w:p>
    <w:p>
      <w:r>
        <w:rPr>
          <w:b/>
        </w:rPr>
        <w:t>E. 1.4</w:t>
      </w:r>
    </w:p>
    <w:p>
      <w:r>
        <w:t>Im Ergebnis ist auf die Beschwerde in öffentlich-rechtlichen Angelegenheiten nicht einzutreten.</w:t>
      </w:r>
    </w:p>
    <w:p>
      <w:r>
        <w:rPr>
          <w:b/>
        </w:rPr>
        <w:t>E. 2</w:t>
      </w:r>
    </w:p>
    <w:p>
      <w:r>
        <w:t>Diesem Verfahrensausgang entsprechend tragen die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