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2C_622/2022 vom 29. Juli 2022</w:t>
      </w:r>
    </w:p>
    <w:p>
      <w:r>
        <w:t>Bundesgericht, 2022-07-29, DE</w:t>
      </w:r>
    </w:p>
    <w:p>
      <w:r>
        <w:rPr>
          <w:b/>
        </w:rPr>
        <w:t xml:space="preserve">Quelle: </w:t>
      </w:r>
      <w:r>
        <w:t>https://mcp.opencaselaw.ch/entscheid/bger_2C_622_2022</w:t>
      </w:r>
    </w:p>
    <w:p>
      <w:r>
        <w:t>FR: TF 2C_622/2022 du 29 juillet 2022</w:t>
      </w:r>
    </w:p>
    <w:p>
      <w:r>
        <w:t>IT: TF 2C_622/2022 del 29 luglio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Beschwerdeführerin unterbreitet dem Bundesgericht mehrere Fragen, denen sie grundsätzliche Bedeutung beimisst.</w:t>
      </w:r>
    </w:p>
    <w:p>
      <w:r>
        <w:rPr>
          <w:b/>
        </w:rPr>
        <w:t>E. 1.2.1</w:t>
      </w:r>
    </w:p>
    <w:p>
      <w:r>
        <w:t>Die Beschwerdeführerin macht geltend, es stelle sich vorliegend zunächst die Grundsatzfrage, inwiefern Daten ab dem Jahr 2012 herausgegeben werden dürften, wenn die betroffene Person nachweislich in den Steuerperioden 2012 bis 2015 keinen Wohnsitz mehr in Österreich gehabt habe und Österreich somit über keine Steuerhoheit verfügt habe. Alsdann sei zu beurteilen, ob die Herausgabe von Daten an die österreichischen Behörden, denen keine Steuerhoheit zukomme, eine "fishing expedition" darstelle. Die Beschwerdeführerin wirft diese beiden Fragen vor dem Hintergrund ihres Wegzugs aus Österreich nach Bulgarien im Jahr 2008 auf.</w:t>
      </w:r>
    </w:p>
    <w:p>
      <w:r>
        <w:t>Das Bundesgericht hat bereits mehrfach bestätigt, dass im Zusammenhang mit den Listen der Informationsinhaberin der Domizilcode einen hinreichenden Anknüpfungspunkt für eine potenzielle Steuerpflicht darstellt (vgl. BGE 146 II 150 E. 6.2.5 f.; Urteile 2C_552/2022 vom 14. Juli 2022 E. 1.3; 2C_55/2022 vom 27. Januar 2022 E. 1.3.2; 2C_56/2022 vom 27. Januar 2022 E. 1.3.2) und keine "fishing expedition" vorliegt (vgl. BGE 146 II 150 E. 6.3). Nach den Feststellungen der Vorinstanz habe sich die Beschwerdeführerin auf einer sichergestellten Liste befunden und sei in Verbindung mit einem Domizilcode für Österreich gestanden (vgl. E. 3.2.3.2 S. 18 des angefochtenen Urteils). Überdies gilt nach ständiger bundesgerichtlicher Rechtsprechung, dass die Bestimmung des Steuerwohnsitzes der betroffenen Person im internationalen Kontext eine materielle Frage darstellt, die von der ESTV nicht im Rahmen des Amtshilfeverfahrens zu klären ist, sondern in die Zuständigkeit der Behörden des ersuchenden Staats fällt (vgl. BGE 145 II 112 E. 2.2.2; 142 II 218 E. 3.6 f.; 142 II 161 E. 2.2.2; Urteil 2C_552/2022 vom 14. Juli 2022 E. 1.3). Die Konstellation, in der sich die betroffene Person auf eine (unbeschränkte) Steuerpflicht in einem anderen Land beruft, ist in der Rechtsprechung bereits behandelt worden (vgl. BGE 142 II 161 E. 2.2 ff.). Insofern ergibt sich aus dem Umstand, dass die Beschwerdeführerin anfangs 2008 ihren Wohnsitz von Österreich nach Bulgarien verlegt habe, keine Rechtsfrage von grundsätzlicher Bedeutung.</w:t>
      </w:r>
    </w:p>
    <w:p>
      <w:r>
        <w:rPr>
          <w:b/>
        </w:rPr>
        <w:t>E. 1.2.2</w:t>
      </w:r>
    </w:p>
    <w:p>
      <w:r>
        <w:t>Als Rechtsfrage von grundsätzlicher Bedeutung ist nach Ansicht der Beschwerdeführerin ausserdem zu beurteilen, ob Art. 26 Abs. 1 DBA CH-AT ausschliesslich auf Personen anwendbar sei, die in einem der beiden Vertragsstaaten ansässig seien. Ihrer Auffassung nach sei das DBA CH-AT auf sie nicht anwendbar, da sie im erfragen Zeitraum in Bulgarien wohnhaft gewesen sei.</w:t>
      </w:r>
    </w:p>
    <w:p>
      <w:r>
        <w:t>Gemäss Art. 26 Abs. 1 Satz 2 DBA CH-AT ist der Informationsaustausch durch Art. 1 DBA CH-AT, demgemäss das Abkommen für Personen gilt, die in einem Vertragsstaat oder in beiden Vertragsstaaten ansässig sind,</w:t>
      </w:r>
    </w:p>
    <w:p>
      <w:r>
        <w:t>nicht eingeschränkt (vgl. auch Urteile 2C_481/2021 vom 19. Mai 2022 E. 7.1, zur Publikation vorgesehen; 2C_953/2020 vom 24. November 2021 E. 3.1). Im Lichte von Art. 26 Abs. 1 Satz 2 DBA CH-AT stellt eine allfällige Ansässigkeit der vom Amtshilfeersuchen betroffenen Person in einem anderen als dem ersuchenden Staat keinen Anhaltspunkt dar, der die Vermutung des guten Glaubens umstossen oder die voraussichtliche Erheblichkeit der ersuchten Informationen infrage stellen könnte. Nach bundesgerichtlicher Rechtsprechung ist lediglich vorausgesetzt, dass die ersuchende Behörde in ihrem Ersuchen alle Informationen angibt, die nach dem anwendbaren Abkommen und dessen allfälligen Protokollen erforderlich sind (vgl. Urteil 2C_953/2020 vom 24. November 2021 E. 3.5; vgl. auch BGE 142 II 161 E. 2.4). Die von der Beschwerdeführerin aufgeworfene Rechtsfrage ist somit geklärt.</w:t>
      </w:r>
    </w:p>
    <w:p>
      <w:r>
        <w:rPr>
          <w:b/>
        </w:rPr>
        <w:t>E. 1.3</w:t>
      </w:r>
    </w:p>
    <w:p>
      <w:r>
        <w:t>Die Beschwerdeführerin sieht in der vorliegenden Angelegenheit ausserdem einen besonders bedeutenden Fall im Sinne von Art. 84 Abs. 2 BGG .</w:t>
      </w:r>
    </w:p>
    <w:p>
      <w:r>
        <w:rPr>
          <w:b/>
        </w:rPr>
        <w:t>E. 1.3.1</w:t>
      </w:r>
    </w:p>
    <w:p>
      <w:r>
        <w:t>Sie macht geltend, die Vorinstanz verweise im angefochtenen Urteil fast ausnahmslos auf ein rechtskräftiges bundesverwaltungsgerichtliches Referenzurteil, das ebenfalls das DBA CH-AT betreffe. Nachdem aber äusserst fraglich sei, ob das DBA CH-AT vorliegend überhaupt anwendbar sei, verletze die Vorinstanz den Anspruch auf rechtliches Gehör, indem sie lediglich die Erwägungen des Referenzurteils zitiere, aber keine Einzelfallbeurteilung vornehme.</w:t>
      </w:r>
    </w:p>
    <w:p>
      <w:r>
        <w:t>Die Beschwerdeführerin lässt ausser Acht, dass gerade keine Anhaltspunkte gegen die Anwendbarkeit des DBA CH-AT sprechen (vgl. E. 1.2.2 hiervor). Ihr gelingt es mit ihren Ausführungen daher nicht, eine qualifizierte Verletzung des Anspruchs auf rechtliches Gehör hinreichend darzutun (vgl. Urteil 2C_567/2022 vom 27. Juli 2022 E. 2.1). Vor diesem Hintergrund ist auch nicht offenkundig, dass die vorinstanzliche Verweisung auf ein Referenzurteil, das ebenfalls das DBA CH-AT betreffe, einen elementaren Verfahrensgrundsatz verletzen würde.</w:t>
      </w:r>
    </w:p>
    <w:p>
      <w:r>
        <w:rPr>
          <w:b/>
        </w:rPr>
        <w:t>E. 1.3.2</w:t>
      </w:r>
    </w:p>
    <w:p>
      <w:r>
        <w:t>Gleich verhält es sich mit dem Vorbringen der Beschwerdeführerin, es sei davon auszugehen, dass das Verfahren in Österreich schwere Mängel aufweise, da die ersuchende Behörde mangels Steuerhoheit gar nicht zuständig sei. Die Rüge bleibt unsubstanziiert. Wie bereits dargelegt (vgl. E. 1.2.2 hiervor), führt die allfällige Ansässigkeit in einem Drittstaat überdies nicht ohne Weiteres zur Unzuständigkeit der ersuchenden Behörde. Ein schwerer Verfahrensmangel ist nicht zu erkennen, weshalb es sich auch hierbei nicht um einen besonderen Fall im Sinne von Art. 84 Abs. 2 BGG in Verbindung mit Art. 84a BGG handelt.</w:t>
      </w:r>
    </w:p>
    <w:p>
      <w:r>
        <w:rPr>
          <w:b/>
        </w:rPr>
        <w:t>E. 2</w:t>
      </w:r>
    </w:p>
    <w:p>
      <w:r>
        <w:t>Im Ergebnis ist auf die Beschwerde in öffentlich-rechtlichen Angelegenheiten nicht einzutreten. Bei diesem Verfahrensausgang wird die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