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622/2018 vom 23. Juli 2018</w:t>
      </w:r>
    </w:p>
    <w:p>
      <w:r>
        <w:t>Bundesgericht, 2018-07-23, DE</w:t>
      </w:r>
    </w:p>
    <w:p>
      <w:r>
        <w:rPr>
          <w:b/>
        </w:rPr>
        <w:t xml:space="preserve">Quelle: </w:t>
      </w:r>
      <w:r>
        <w:t>https://mcp.opencaselaw.ch/entscheid/bger_2C_622_2018</w:t>
      </w:r>
    </w:p>
    <w:p>
      <w:r>
        <w:t>FR: TF 2C 622/2018 du 23 juillet 2018</w:t>
      </w:r>
    </w:p>
    <w:p>
      <w:r>
        <w:t>IT: TF 2C 622/2018 del 23 luglio 2018</w:t>
      </w:r>
    </w:p>
    <w:p>
      <w:pPr>
        <w:pStyle w:val="Heading2"/>
      </w:pPr>
      <w:r>
        <w:t>Regeste</w:t>
      </w:r>
    </w:p>
    <w:p>
      <w:r>
        <w:t>Nichtverlängerung der Aufenthaltsbewilligung und Wegweisung | Bürgerrecht und Ausländerrecht</w:t>
      </w:r>
    </w:p>
    <w:p>
      <w:pPr>
        <w:pStyle w:val="Heading2"/>
      </w:pPr>
      <w:r>
        <w:t>Erwägungen</w:t>
      </w:r>
    </w:p>
    <w:p>
      <w:r>
        <w:rPr>
          <w:b/>
        </w:rPr>
        <w:t>E. 1</w:t>
      </w:r>
    </w:p>
    <w:p>
      <w:r>
        <w:t>Der am 20. Juni 1985 geborene A.________, Staatsangehöriger von Kosovo, heiratete am xx. Januar 2016 eine in der Schweiz niedergelassene Landsfrau. Im Oktober 2016 reiste er in die Schweiz ein und am 14. Oktober 2016 erhielt er eine Aufenthaltsbewilligung im Familiennachzug zu seiner Ehefrau. Die Ehegemeinschaft wurde im Juni 2017 aufgegeben, das Getrenntleben auf unbestimmte Zeit wurde am 2. November 2017 eheschutzrichterlich genehmigt. Das Amt für Migration und Integration des Kantons (MIKA) Aargau lehnte mit Verfügung vom 12. Dezember 2017 eine Verlängerung der Aufenthaltsbewilligung ab, verbunden mit der Wegweisung aus der Schweiz. Die Beschwerde gegen den diese Verfügung bestätigenden Einspracheentscheid des Rechtsdienstes des MIKA vom 19. März 2018 wies das Verwaltungsgericht des Kantons Aargau mit Urteil vom 27. Juni 2018 ab. Mit Beschwerde in öffentlich-rechtlichen Angelegenheiten vom 21. Juli 2018 beantragt A.________ dem Bundesgericht, das Urteil des Verwaltungsgerichts sei aufzuheben und es sei ihm die Aufenthaltsbewilligung zu verlängern.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Besonderer Geltendmachung und Begründung bedarf die Rüge der Verletzung verfassungsmässiger Rechte ( Art. 106 Abs. 2 BGG ).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Der Beschwerdeführer erwähnt den Anspruch auf rechtliches Gehör. Inwiefern ihm das rechtliche Gehör verweigert worden wäre, tut er nicht in einer den Anforderungen von Art. 106 Abs. 2 BGG genügenden Weise dar. Inwiefern er daran gehindert worden wäre, alle massgeblichen, ihm wichtig erscheinenden Gesichtspunkte in das Verfahren einzubringen, legt er nicht dar. Es ist angesichts des vom Verwaltungsgericht festgestellten Sachverhalts und dessen Beurteilung im Lichte der einschlägigen Normen namentlich nicht ersichtlich, welche für den Ausgang des Verfahrens entscheidenden Aspekte (s. Art. 97 Abs. 1 BGG ) übersehen worden wären. Materiell streitig ist einzig, ob ein nachehelicher Härtefall im Sinne von Art. 50 Abs. 1 lit. b und Abs. 2 AuG vorliege. Das Verwaltungsgericht schildert in E. 5 die entsprechenden Voraussetzungen und erklärt, unter Hinweis auf seine Vorinstanz, warum diese Voraussetzungen im Falle des Beschwerdeführers nicht erfüllt seien (namentlich E. 5.2). Der Beschwerdeführer erklärt, warum bei ihm ein Härtefall vorliege. Er geht indessen auch nicht ansatzweise auf die diesbezüglichen Erwägungen des Verwaltungsgerichts ein.</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Ergänzend ist festzuhalten, dass angesichts der schlüssigen Erwägungen der Vorinstanz nicht erkennbar ist, inwiefern sich deren Urteil mit formgültigen Rügen erfolgversprechend anfechten liessen.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