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2C_621/2020 vom 29. Juli 2020</w:t>
      </w:r>
    </w:p>
    <w:p>
      <w:r>
        <w:t>Bundesgericht, 2020-07-29, FR</w:t>
      </w:r>
    </w:p>
    <w:p>
      <w:r>
        <w:rPr>
          <w:b/>
        </w:rPr>
        <w:t xml:space="preserve">Quelle: </w:t>
      </w:r>
      <w:r>
        <w:t>https://mcp.opencaselaw.ch/entscheid/bger_2C_621_2020</w:t>
      </w:r>
    </w:p>
    <w:p>
      <w:r>
        <w:t>FR: TF 2C_621/2020 du 29 juillet 2020</w:t>
      </w:r>
    </w:p>
    <w:p>
      <w:r>
        <w:t>IT: TF 2C_621/2020 del 29 luglio 2020</w:t>
      </w:r>
    </w:p>
    <w:p>
      <w:pPr>
        <w:pStyle w:val="Heading2"/>
      </w:pPr>
      <w:r>
        <w:t>Erwägungen</w:t>
      </w:r>
    </w:p>
    <w:p>
      <w:r>
        <w:rPr>
          <w:b/>
        </w:rPr>
        <w:t>E. 1</w:t>
      </w:r>
    </w:p>
    <w:p>
      <w:r>
        <w:t>Par arrêt du 7 juillet 2020, la Cour de justice de la République et canton de Genève (ci-après: la Cour de justice) a rejeté un recours que A.________, ressortissant sénégalais né en 1974, avait interjeté à l'encontre d'un jugement du Tribunal administratif de première instance de la République et canton de Genève du 30 janvier 2020, confirmant une décision de l'Office cantonal de la population et des migrations de la République et canton de Genève (ci-après: l'Office cantonal) du 8 mars 2019 qui refusait de lui octroyer une autorisation de séjour fondée sur l' art. 30 LEI (RS 142.20).</w:t>
      </w:r>
    </w:p>
    <w:p>
      <w:r>
        <w:rPr>
          <w:b/>
        </w:rPr>
        <w:t>E. 2</w:t>
      </w:r>
    </w:p>
    <w:p>
      <w:r>
        <w:t>Par courrier du 30 juillet 2020, posté le 28 juillet 2020, A.________ demande en substance au Tribunal fédéral d'annuler l'arrêt de la Cour de justice du 7 juillet 2020 et de réexaminer son dossier, estimant réunir les conditions posées à l'octroi d'une autorisation de séjour pour cas de rigueur et considérant son renvoi comme étant illicite.</w:t>
      </w:r>
    </w:p>
    <w:p>
      <w:r>
        <w:rPr>
          <w:b/>
        </w:rPr>
        <w:t>E. 3.1</w:t>
      </w:r>
    </w:p>
    <w:p>
      <w:r>
        <w:t>Selon l' art. 83 let . c ch. 2, 3 et 5 LTF, en droit des étrangers, le recours en matière de droit public est irrecevable à l'encontre des décisions qui concernent une autorisation à laquelle ni le droit fédéral ni le droit international ne donnent droit, celles qui ont trait à l'admission provisoire, ainsi que celles qui concernent les dérogations aux conditions d'admission.</w:t>
      </w:r>
    </w:p>
    <w:p>
      <w:r>
        <w:rPr>
          <w:b/>
        </w:rPr>
        <w:t>E. 3.2</w:t>
      </w:r>
    </w:p>
    <w:p>
      <w:r>
        <w:t>En l'occurrence, le recourant ne saurait se prévaloir, dans le cadre d'un recours en matière de droit public, d'une dérogation contenue à l' art. 30 LEI (arrêt 2C_683/2019 du 8 août 2019 consid. 3) ou d'un cas d'admission provisoire prévu par l' art. 83 LEI . Le recours en matière de droit public est ainsi irrecevable à ce titre.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ni de l' art. 30 LEI , ni de l' art. 83 LEI ,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et les références). Or, le recourant n'invoque aucune violation de ses droits de partie.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