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61/2022 vom 31. Januar 2022</w:t>
      </w:r>
    </w:p>
    <w:p>
      <w:r>
        <w:t>Bundesgericht, 2022-01-31, IT</w:t>
      </w:r>
    </w:p>
    <w:p>
      <w:r>
        <w:rPr>
          <w:b/>
        </w:rPr>
        <w:t xml:space="preserve">Quelle: </w:t>
      </w:r>
      <w:r>
        <w:t>https://mcp.opencaselaw.ch/entscheid/bger_2C_61_2022</w:t>
      </w:r>
    </w:p>
    <w:p>
      <w:r>
        <w:t>FR: TF 2C 61/2022 du 31 janvier 2022</w:t>
      </w:r>
    </w:p>
    <w:p>
      <w:r>
        <w:t>IT: TF 2C 61/2022 del 31 gennaio 2022</w:t>
      </w:r>
    </w:p>
    <w:p>
      <w:pPr>
        <w:pStyle w:val="Heading2"/>
      </w:pPr>
      <w:r>
        <w:t>Regeste</w:t>
      </w:r>
    </w:p>
    <w:p>
      <w:r>
        <w:t>Decisione di stralcio | Procedura amministrativa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la sua competenza ( art. 29 cpv. 1 LTF ), rispettivamente l'ammissibilità dei gravami che gli vengono sottoposti ( DTF 147 I 333 consid. 1 e rinvii).</w:t>
      </w:r>
    </w:p>
    <w:p>
      <w:r>
        <w:rPr>
          <w:b/>
        </w:rPr>
        <w:t>E. 2.1</w:t>
      </w:r>
    </w:p>
    <w:p>
      <w:r>
        <w:t>L'esercizio dei diritti civili in ambito giudiziario del ricorrente è stato limitato ed è stata istituita una curatela di rappresentanza nel senso dell' art. 394 CC in suo favore con lo scopo di segnatamente rappresentarlo nei procedimenti civili e amministrativi; quale curatore è stato nominato l'avv. Pascal Cattaneo (vedasi sentenza 5A_1054/2021 del 10 gennaio 2022).</w:t>
      </w:r>
    </w:p>
    <w:p>
      <w:r>
        <w:rPr>
          <w:b/>
        </w:rPr>
        <w:t>E. 2.2</w:t>
      </w:r>
    </w:p>
    <w:p>
      <w:r>
        <w:t>Con lettera del 24 gennaio 2022 l'avv. Pascal Cattaneo ha comunicato al Tribunale federale di non ratificare il ricorso di A.________. Ora la capacità processuale ( Prozessfähigkeit; capacité d'ester en justice ), ossia, per quanto qui d'interesse, la facoltà di inoltrare un ricorso al Tribunale federale e quindi di condurre personalmente la propria causa spetta a chi ha l'esercizio dei diritti civili ( Handlungsfähigkeit; exercice des droits civils; art. 13 CC ; DTF 132 I 1 consid. 3.1). Chi invece non ha l'esercizio dei medesimi deve agire per mezzo del suo rappresentante ( art. 19 cpv. 1 CC ), salvo eccezioni (cfr. 19c CC) che qui non ricorrono (sentenza 2C_817/2017 del 27 settembre 2017 consid. 4). Come appena accennato il curatore del qui ricorrente - che deve rappresentarlo in ambito giudiziario - non ha dato il suo consenso al gravame. Quest'ultimo si rivela quindi manifestamente inammissibile e può essere evaso nella procedura semplificata dell' art. 108 cpv. 1 lett. a LTF .</w:t>
      </w:r>
    </w:p>
    <w:p>
      <w:r>
        <w:rPr>
          <w:b/>
        </w:rPr>
        <w:t>E. 3</w:t>
      </w:r>
    </w:p>
    <w:p>
      <w:r>
        <w:t>Comunicazione al ricorrente, al curatore avv. Pascal Cattaneo, al Consiglio di Stato e al Giudice delegato del Tribunale amministrativo del Cantone Ticino. Losanna, 31 gennaio 2022 In nome della II Corte di diritto pubblico del Tribunale federale svizzero La Presidente: F. Aubry Girardin 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