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619/2018 vom 21. Dezember 2018</w:t>
      </w:r>
    </w:p>
    <w:p>
      <w:r>
        <w:t>Bundesgericht, 2018-12-21, DE</w:t>
      </w:r>
    </w:p>
    <w:p>
      <w:r>
        <w:rPr>
          <w:b/>
        </w:rPr>
        <w:t xml:space="preserve">Quelle: </w:t>
      </w:r>
      <w:r>
        <w:t>https://mcp.opencaselaw.ch/entscheid/bger_2C_619_2018</w:t>
      </w:r>
    </w:p>
    <w:p>
      <w:r>
        <w:t>FR: TF 2C 619/2018 du 21 décembre 2018</w:t>
      </w:r>
    </w:p>
    <w:p>
      <w:r>
        <w:t>IT: TF 2C 619/2018 del 21 dicembre 2018</w:t>
      </w:r>
    </w:p>
    <w:p>
      <w:pPr>
        <w:pStyle w:val="Heading2"/>
      </w:pPr>
      <w:r>
        <w:t>Regeste</w:t>
      </w:r>
    </w:p>
    <w:p>
      <w:r>
        <w:t>Amtshilfe DBA (CH-IN) | Rechtshilfe und Auslieferung</w:t>
      </w:r>
    </w:p>
    <w:p>
      <w:pPr>
        <w:pStyle w:val="Heading2"/>
      </w:pPr>
      <w:r>
        <w:t>Erwägungen</w:t>
      </w:r>
    </w:p>
    <w:p>
      <w:r>
        <w:rPr>
          <w:b/>
        </w:rPr>
        <w:t>E. 1</w:t>
      </w:r>
    </w:p>
    <w:p>
      <w:r>
        <w:t>Unter welchen Voraussetzungen ist eine Person mit Zeichnungsberechtigung, die weder zur Familie der betroffenen Person gehört noch Anwalt oder Notar ist, gestützt auf Art. 4 Abs. 3 StAhiG zu schwärzen?</w:t>
      </w:r>
    </w:p>
    <w:p>
      <w:r>
        <w:rPr>
          <w:b/>
        </w:rPr>
        <w:t>E. 1.1</w:t>
      </w:r>
    </w:p>
    <w:p>
      <w:r>
        <w:t>Dem vorliegenden Verfahren liegt ein Amtshilfegesuch des MoF vom 27. März 2015 gestützt auf das DBA CH-IN zugrunde. Das Verfahren richtet sich nach dem StAhiG.</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Die Beschwerdeführerinnen stellen zwei Rechtsfragen, denen nach ihrer Auffassung grundsätzliche Bedeutung zukommt:</w:t>
      </w:r>
    </w:p>
    <w:p>
      <w:r>
        <w:rPr>
          <w:b/>
        </w:rPr>
        <w:t>E. 1.3.3</w:t>
      </w:r>
    </w:p>
    <w:p>
      <w:r>
        <w:t>Die zweite Rechtsfrage ist von grundsätzlicher Bedeutung; sie wurde indessen im Urteil 2C_648/2017 vom 17. Juli 2018 geklärt. Weil die Frage im Zeitpunkt der Beschwerdeerhebung noch offen war, rechtfertigt es sich, hier von einer Rechtsfrage grundsätzlicher Bedeutung auszugehen (vgl. Urteile 2C_819/2017 vom 2. August 2018 E. 1.3.3; 2C_289/2015 vom 5. April 2016 E. 1.2.2, nicht publ. in: BGE 142 II 218 ). Ob auch die erste Frage von grundsätzlicher Bedeutung ist, kann dahingestellt bleiben, denn es genügt, wenn eine solche Frage vorliegt. Diesfalls tritt das Bundesgericht auf die Beschwerde ein und prüft diese nach Massgabe von Art. 95 ff. und 105 ff. BGG umfassend, nicht nur in Bezug auf diejenigen Fragen, welche von grundlegender Bedeutung sind ( BGE 141 II 14 E. 1.2.2.4).</w:t>
      </w:r>
    </w:p>
    <w:p>
      <w:r>
        <w:rPr>
          <w:b/>
        </w:rPr>
        <w:t>E. 1.4</w:t>
      </w:r>
    </w:p>
    <w:p>
      <w:r>
        <w:t>Auf die frist- und formgerecht eingereichte Beschwerde des hierzu legitimierten Beschwerdeführers ( Art. 89 Abs. 1 BGG ) ist einzutreten ( Art. 42 und Art. 100 Abs. 1 BGG ).</w:t>
      </w:r>
    </w:p>
    <w:p>
      <w:r>
        <w:rPr>
          <w:b/>
        </w:rPr>
        <w:t>E. 1.5</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d.h. willkürlich, sind oder auf einer Rechtsverletzung im Sinne von Art. 95 BGG beruhen ( Art. 105 Abs. 2 BGG ), wozu auch die Verletzung des rechtlichen Gehörs zählt ( BGE 137 II 122 E. 3.4 S. 125). Zudem hat die beschwerdeführende Partei aufzuzeigen, dass die Behebung des Mangels für den Ausgang des Verfahrens entscheidend sein kann ( Art. 97 Abs. 1 BGG ; BGE 140 III 16 E. 1.3.1 S. 17 f.; 140 IV 97 E. 1.4.1 S. 100). Eine Rechtsverletzung im Sinne dieser Bestimmungen liegt auch vor, wenn ein rechtserheblicher Sachverhalt gar nicht festgestellt wurde. Das gilt insbesondere dann, wenn die Vorinstanz bestimmte Aspekte nicht festgestellt hat, die aufgrund ihrer Rechtsauffassung nicht rechtserheblich waren, diese Aspekte aber aufgrund der Rechtsbeurteilung durch das Bundesgericht rechtserheblich werden ( BGE 141 II 14 E. 1.6 S. 24). Neue Tatsachen und Beweismittel dürfen nur so weit vorgebracht werden, als der Entscheid der Vorinstanz dazu Anlass gibt ( Art. 99 Abs. 1 BGG ).</w:t>
      </w:r>
    </w:p>
    <w:p>
      <w:r>
        <w:rPr>
          <w:b/>
        </w:rPr>
        <w:t>E. 2</w:t>
      </w:r>
    </w:p>
    <w:p>
      <w:r>
        <w:t>Frage 2 wurde, wie bereits erwähnt, mit Urteil 2C_648/2017 vom 17. Juli 2018 geklärt.</w:t>
      </w:r>
    </w:p>
    <w:p>
      <w:r>
        <w:rPr>
          <w:b/>
        </w:rPr>
        <w:t>E. 2.1</w:t>
      </w:r>
    </w:p>
    <w:p>
      <w:r>
        <w:t>Der Entscheid betraf ebenfalls Indien, gilt aber selbstverständlich für sämtliche Staaten. Es wurde festgehalten, dass im Zusammenhang mit der Amtshilfe in Steuersachen ein Staat, der schweizerische Bankdaten kauft, um sie danach für Amtshilfegesuche zu verwenden, ein Verhalten an den Tag legt, das nicht mit dem Grundsatz von Treu und Glauben vereinbar ist. Ansonsten ist die Frage, ob ein Staat den Grundsatz von Treu und Glauben bei von Art. 7 lit. c StAhiG erfassten Konstellationen verletzt hat, nach den Umständen des Einzelfalls zu beurteilen (vgl. E. 2.3.1 und E. 2.3.3 bis 2.3.4 des fraglichen Entscheids mit Verweis auf BGE 143 II 224 E. 6.4 S. 230 f.).</w:t>
      </w:r>
    </w:p>
    <w:p>
      <w:r>
        <w:rPr>
          <w:b/>
        </w:rPr>
        <w:t>E. 2.2</w:t>
      </w:r>
    </w:p>
    <w:p>
      <w:r>
        <w:t>Vorliegend hat die Vorinstanz unter Berücksichtigung einer Erklärung des MoF verbindlich festgestellt, dass das Amtshilfeersuchen Indiens auf Informationen beruht, die von den "Falciani-Daten" unabhängig sind.</w:t>
      </w:r>
    </w:p>
    <w:p>
      <w:r>
        <w:rPr>
          <w:b/>
        </w:rPr>
        <w:t>E. 2.2.1</w:t>
      </w:r>
    </w:p>
    <w:p>
      <w:r>
        <w:t>Dies geschah unter Beachtung der rechtlichen Vorgaben zur Ermittlung des Sachverhalts, wozu auch das Vertrauensprinzip im Völkerrecht gehört, welches Teil des schweizerischen Rechts bildet (Art. 31 des Wiener Übereinkommens vom 23. Mai 1969 über das Recht der Verträge [VRK; SR 0.111]). Aus diesem folgt, dass ausser bei offenbarem Rechtsmissbrauch oder Widersprüchen kein Anlass besteht, an den Sachverhaltsdarstellungen und Erklärungen anderer Staaten zu zweifeln (ausführlich zum Ganzen: BGE 142 II 161 E. 2.1.3 f. S. 167 f.; 128 II 407 E. 5.2.1 S. 417).</w:t>
      </w:r>
    </w:p>
    <w:p>
      <w:r>
        <w:rPr>
          <w:b/>
        </w:rPr>
        <w:t>E. 2.2.2</w:t>
      </w:r>
    </w:p>
    <w:p>
      <w:r>
        <w:t>Gemäss den Beschwerdeführerinnen belegt jedoch bereits eine einfach Google-Recherche, dass Frankreich die "Falciani-Daten" im Jahre 2011 dem MoF zugestellt und das MoF in der Folge zahlreiche Amtshilfeersuchen an die Schweiz gestellt habe. C.________ sei auf dieser Liste aufgeführt gewesen, weshalb das MoF betreffend C.________ bereits mehrere Amtshilfegesuche gestellt habe. Zudem habe die ESTV in ihrer Vernehmlassung vor Bundesverwaltungsgericht selbst ausgeführt, dass Befragungen von C.________ aufgrund der von Frankreich erworbenen Daten durchgeführt worden seien. Da dieser gegenüber dem MoF die entsprechenden Informationen nicht preisgegeben habe, habe das MoF auf dem Amtshilfeweg versucht, an die entsprechenden Informationen zu gelangen. Es sei damit offensichtlich, dass die Amtshilfeersuchen des MoF über C.________ auf den "Falciani-Daten" beruhten.</w:t>
      </w:r>
    </w:p>
    <w:p>
      <w:r>
        <w:rPr>
          <w:b/>
        </w:rPr>
        <w:t>E. 2.2.3</w:t>
      </w:r>
    </w:p>
    <w:p>
      <w:r>
        <w:t>Diese Ausführungen vermögen die Vermutung zugunsten des ersuchenden Staates, welche das Bundesverwaltungsgericht korrekt angewendet hat, nicht in Zweifel zu ziehen. Gleichermassen denkbar ist, dass das Amtshilfeersuchen des MoF auf anderen Informationen als den "Falciani-Daten" beruht.</w:t>
      </w:r>
    </w:p>
    <w:p>
      <w:r>
        <w:rPr>
          <w:b/>
        </w:rPr>
        <w:t>E. 2.3</w:t>
      </w:r>
    </w:p>
    <w:p>
      <w:r>
        <w:t>Ohnehin fehlt es der Sachverhaltsrüge, welche sich mit der Verwendung von Informationen deliktischer Herkunft auseinandersetzt, an der notwendigen Entscheidrelevanz. Selbst wenn das Ersuchen ausschliesslich gestützt auf die "Falciani-Daten" gestellt worden wäre, bestünde kein Verstoss gegen Treu und Glauben. Wie bereits erwähnt (vgl. E. 2.1), ist diese Frage nach den Umständen des Einzelfalls zu beurteilen, ausser der ersuchende Staat habe die Bankdaten gekauft, um sie danach für Amtshilfegesuche zu verwenden. Solches wird vorliegend jedoch nicht geltend gemacht.</w:t>
      </w:r>
    </w:p>
    <w:p>
      <w:r>
        <w:rPr>
          <w:b/>
        </w:rPr>
        <w:t>E. 2.3.1</w:t>
      </w:r>
    </w:p>
    <w:p>
      <w:r>
        <w:t>Die Beschwerdeführerinnen sind vielmehr der Ansicht, das treuwidrige Verhalten Indiens im Sinne von Art. 7 lit. c StAhiG i.V.m. Art. 26 und 31 VRK liege darin, dass das MoF über die Zusicherung Frankreichs an die Schweiz, die "Falciani-Daten" nicht zu verwenden, im Bilde gewesen sei. Dadurch sei die Zusicherung auch für Indien verbindlich und die Verwendung der "Falciani-Daten" für ein Amtshilfeersuchen stelle einen Verstoss gegen Treu und Glauben im Einzelfall dar - ungeachtet davon, ob Indien die Daten von Frankreich per Amtshilfe erhalten oder erworben habe.</w:t>
      </w:r>
    </w:p>
    <w:p>
      <w:r>
        <w:rPr>
          <w:b/>
        </w:rPr>
        <w:t>E. 2.3.2</w:t>
      </w:r>
    </w:p>
    <w:p>
      <w:r>
        <w:t>Art. 7 lit. c StAhiG konkretisiert das Prinzip von Treu und Glauben im internationalen Recht in Zusammenhang mit Informationen, die durch nach schweizerischem Recht strafbare Handlungen erlangt worden sind. Es kommt ihm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 BGE 143 II 224 E. 6.2 S. 229). Dem ersuchenden Staat kann die unilaterale Ausformulierung der Anwendung des Vertrauensprinzips nur entgegengehalten werden, wenn a. ein entsprechender Verweis in das bilaterale Abkommen (oder Protokolle dazu) aufgenommen wurde, d.h. der Vertragsstaat diesen Vorbehalt akzeptiert hat, oder b. feststeht, dass der Vertragsstaat den Grundsatz von Treu und Glauben verletzt hat. Ob eine solche Verletzung vorliegt, beurteilt sich dabei nach dem Wiener Übereinkommen (Urteil 2C_648/2017 vom 17. Juli 2018 E. 3.3; vgl. BGE 143 II 224 E. 6.2 S. 229).</w:t>
      </w:r>
    </w:p>
    <w:p>
      <w:r>
        <w:rPr>
          <w:b/>
        </w:rPr>
        <w:t>E. 2.3.3</w:t>
      </w:r>
    </w:p>
    <w:p>
      <w:r>
        <w:t>Art. 7 lit. c StAhiG ist vorliegend nur von beschränkter Tragweite; massgebend ist primär das DBA CH-IN als völkerrechtlicher Vertrag zwischen der Schweiz und der Republik Indien. Ziff. 10 Bst. b des Protokolls zum DBA CH-IN verlangt vom ersuchenden Staat keine Angaben zur Herkunft der Grundlage des Ersuchens bildenden Daten. Zwar weist die Schweiz seit Frühjahr 2010 im Rahmen der DBA-Verhandlungen darauf hin, dass sie keinen Informationsaustausch gewährt bei Gesuchen, die auf illegal erworbenen Daten beruhen (vgl. Stellungnahme des Bundesrates zur Interpellation vom 16. März 2012: Verwendung von gestohlenen Bankdaten in Steuerverfahren, Antwort zur 3. Frage [Datenbank curia vista, 12.3302]; ANDREA OPEL, Wider die Amtshilfe bei Datenklau: Gestohlene Daten sind gestohlene Daten, Jusletter vom 23. November 2015, N. 4 Fn. 13 sowie N. 23 Fn. 64). Im Protokoll zum DBA CH-IN hat dies allerdings (noch) keinen ersichtlichen Niederschlag gefunden. Ebensowenig findet sich im DBA CH-IN eine Verpflichtung, wonach der ersuchende Staat eine Zusicherung abgeben muss, sein Ersuchen nicht auf Informationen abzustützen, die durch nach schweizerischem Recht strafbare Handlungen erlangt worden sind (Urteil 2C_648/2017 vom 17. Juli 2018 E. 3.4.1 f.). Mangels einer solchen Zusicherung bereits im massgeblichen Abkommen zwischen der Schweiz und Indien, kann offen bleiben, inwiefern Indien überhaupt an eine Zusicherung gebunden sein könnte, welche Frankreich gegenüber der Schweiz abgeben hat.</w:t>
      </w:r>
    </w:p>
    <w:p>
      <w:r>
        <w:rPr>
          <w:b/>
        </w:rPr>
        <w:t>E. 2.3.4</w:t>
      </w:r>
    </w:p>
    <w:p>
      <w:r>
        <w:t>Im Weiteren ist den Beschwerdeführerinnen zwar beizupflichten, dass nicht nur bei der Missachtung vorheriger ausdrücklicher Zusicherungen ein treuwidriges Handeln vorliegen kann. Das Prinzip von Treu und Glauben hätte keine nennenswerte Bedeutung mehr, wenn zuerst eine explizite Vereinbarung geschlossen werden muss, ein bestimmtes Verhalten zu unterlassen, damit genau dieses später als treuwidrig gelten kann. Dementsprechend stellt zumindest der Kauf illegal erworbener Daten und ein anschliessend darauf abgestütztes Amtshilfeersuchen auch dann einen Verstoss gegen Treu und Glauben dar, wenn der ersuchende Staat nicht vorab ausdrücklich versichert hat, ein solches Verhalten zu unterlassen (vgl. Urteil 2C_648/2017 vom 17. Juli 2018 E. 2.3.4).</w:t>
      </w:r>
    </w:p>
    <w:p>
      <w:r>
        <w:rPr>
          <w:b/>
        </w:rPr>
        <w:t>E. 2.3.5</w:t>
      </w:r>
    </w:p>
    <w:p>
      <w:r>
        <w:t>Das blosse Verwenden illegal erworbener Daten durch den ersuchenden Staat, welche dieser im Rahmen der (spontanen) Amtshilfe durch einen anderen Staat erhalten hat, stellt, entgegen der Ansicht verschiedener Autoren sowie der Beschwerdeführerinnen, jedoch noch kein treuwidriges Verhalten dar (Urteile 2C_648/2017 vom 17. Juli 2018 E. 2.3.4; 2C_819/2017 vom 2. August 2018 E. 2.2.3, je mit Hinweisen). Dazu sind zusätzliche Handlungen notwendig, wie beispielsweise eine vertragliche Zusicherung, keine durch andere Staaten illegal erworbene Daten zu verwenden. Wie gesehen, erwächst Indien aus dem massgeblichen Abkommen jedoch keine derartige Verpflichtung. Andere treuwidrige Handlungen Indiens sind vorliegend nicht ersichtlich und werden von den Beschwerdeführerinnen auch nicht vorgebracht.</w:t>
      </w:r>
    </w:p>
    <w:p>
      <w:r>
        <w:rPr>
          <w:b/>
        </w:rPr>
        <w:t>E. 3</w:t>
      </w:r>
    </w:p>
    <w:p>
      <w:r>
        <w:t>Hinsichtlich der Frage 1 hat die Vorinstanz die bestehende bundesgerichtliche Rechtsprechung zur Übermittlung von Informationen zu nicht betroffenen Person richtig wiedergegeben (vgl. E. 2.3.2 des angefochtenen Entscheids) und anschliessend in zutreffender Weise auf den vorliegenden Sachverhalt angewendet.</w:t>
      </w:r>
    </w:p>
    <w:p>
      <w:r>
        <w:rPr>
          <w:b/>
        </w:rPr>
        <w:t>E. 3.1</w:t>
      </w:r>
    </w:p>
    <w:p>
      <w:r>
        <w:t>Durch Art. 4 Abs. 3 StAhiG sollen Personen geschützt werden, die nichts mit dem im Amtshilfeersuchen geschilderten Sachverhalt zu tun haben, deren Namen also rein zufällig in den weiterzuleitenden Dokumenten auftauchen (Botschaft vom 5. Juni 2015 zur Genehmigung des Übereinkommens des Europarats und der OECD über die gegenseitige Amtshilfe in Steuersachen und zu seiner Umsetzung; BBl 2015 5585 5623). Die Übermittlung von Informationen zu nicht betroffenen Personen ist demnach nicht zulässig, ausser die Informationen seien voraussichtlich erheblich und ihre Aushändigung verhältnismässig im Sinne, dass eine Unterbindung dieser Informationen das Amtshilfeersuchen wertlos machen würde. Es gilt dabei, zwischen den Interessen dieser Personen und denjenigen des ersuchenden Staates abzuwägen. Die Übermittlung der Namen von Dritten wird in diesem Sinne nur zugelassen, wenn sie mit Blick auf den vom ersuchenden Staat verfolgten Steuerzweck voraussichtlich erheblich und folglich auch verhältnismässig ist, weil eine Unterbindung der Information das Amtshilfeersuchen seines Sinnes entleeren würde (vgl. BGE 143 II 506 E. 5.2.1 S. 512; 142 II 161 E. 4.6.1 S. 180 f.; 141 II 436 E. 4.5 und 4.6 S. 446; Urteil 2C_690/2015 vom 15. März 2016 E. 4.5). Der Name eines Dritten kann folglich in den zu übermittelnden Unterlagen belassen werden, wenn dies geeignet ist, die steuerliche Situation der vom Amtshilfeersuchen betroffenen Person zu erhellen ( BGE 144 II 29 E. 4.2.3 S. 36).</w:t>
      </w:r>
    </w:p>
    <w:p>
      <w:r>
        <w:rPr>
          <w:b/>
        </w:rPr>
        <w:t>E. 3.2</w:t>
      </w:r>
    </w:p>
    <w:p>
      <w:r>
        <w:t>In Anwendung dieses Grundsatzes hat das Bundesgericht in BGE 144 II 29 E. 4.2.4 S. 36 verschiedene Beispiele aufgeführt, bei welchen die Übermittlung von Dokumenten, die Namen Dritter enthielten, zugelassen wurde. Dies betraf u.a. Bankdaten und eine Transaktionsliste bei einem Amtshilfeersuchen zur Feststellung des steuerlichen Domizils. Ebenso statthaft war die Übermittlung der Daten von Frau und Töchtern einer im Amtshilfeverfahren betroffenen Person, die über eine Vollmacht über nachgefragte Konten verfügten. Hingegen dürfen Informationen von Bankangestellten prinzipiell nicht übermittelt werden, da sie in der Regel nichts mit der steuerlichen Frage zu tun haben, die dem Ersuchen zugrunde liegen.</w:t>
      </w:r>
    </w:p>
    <w:p>
      <w:r>
        <w:rPr>
          <w:b/>
        </w:rPr>
        <w:t>E. 3.3</w:t>
      </w:r>
    </w:p>
    <w:p>
      <w:r>
        <w:t>Die Beschwerdeführerinnen verweisen ebenfalls auf BGE 144 II 29 und führen an, dass im fraglichen Entscheid die Übermittlung von Informationen zu Bankmitarbeitern und einem Rechtsanwalt/Notar nicht zugelassen worden sei. Der vorliegende Sachverhalt ist mit demjenigen des vorgenannten Urteils jedoch entgegen der Ansicht der Beschwerdeführerinnen nicht ohne Weiteres vergleichbar, da dort die fragliche Bank, welche die nachgefragten Informationen besass, Teilnehmerin eines Non-Prosecution Agreement (NPA) mit den USA war. Hinsichtlich des Amtshilfeersuchens wurden darin die Informationen der nicht vom Ersuchen betroffenen Personen nicht ausdrücklich verlangt, und sie stellten im fraglichen Fall keine notwendigen Auskünfte für die Steuern des ersuchenden Staates dar (a.a.O., E. 4.3). Ob darüber hinaus eine Zeichnungsberechtigung für ein Konto bestand, spielte bei dieser Einschätzung keine entscheidende Rolle.</w:t>
      </w:r>
    </w:p>
    <w:p>
      <w:r>
        <w:rPr>
          <w:b/>
        </w:rPr>
        <w:t>E. 3.4</w:t>
      </w:r>
    </w:p>
    <w:p>
      <w:r>
        <w:t>Auch der Verweis der Beschwerdeführerinnen auf das Urteil 2C_387/2016 vom 5. März 2018 ist nicht einschlägig. Das Urteil lässt nicht den Schluss zu, Namen von zeichnungsberechtigten Dritten seien generell zu schwärzen, wenn sie dem Steuerpflichtigen nicht in dem Sinne nahestehen, dass sie als Familienangehörige gelten. Diese Einschränkung wurde im erwähnten Urteil nur vorgenommen, weil das fragliche Ersuchen sowohl den Begriff der nahestehenden Personen ("personnes proches") als auch die Art ihrer Verbindungen zum Steuerpflichtigen mangelhaft präzisierte und deshalb einer Suche auf das Geratewohl resp. einer fishing expedition glich (vgl. Urteil 2C_387/2016 vom 5. März 2018 E. 5.2 f.).</w:t>
      </w:r>
    </w:p>
    <w:p>
      <w:r>
        <w:rPr>
          <w:b/>
        </w:rPr>
        <w:t>E. 3.5</w:t>
      </w:r>
    </w:p>
    <w:p>
      <w:r>
        <w:t>Wie die Vorinstanz verbindlich festgehalten hat, waren die Mitarbeitenden der Beschwerdeführerin 2 nicht direkt für die Beschwerdeführerin 1 zeichnungsberechtigt, sondern die beiden Gesellschaften I.________ Limited und J.________ Limited. Die genannten Personen waren indes aufgrund ihres Arbeitsverhältnisses mit der Beschwerdeführerin 2 für die beiden vorgenannten Gesellschaften zeichnungsberechtigt. Die Beschwerdeführerinnen argumentieren, dass die Mitarbeitenden rein zufällig in den Akten erschienen, weil auch andere Mitarbeiter für das Kundenverhältnis hätten eingesetzt werden können. Gemäss Vorinstanz konnte nicht festgestellt werden, ob die fraglichen Mitarbeitenden tatsächlich rein zufällig für unterschriftsberechtigt erklärt wurden. Jedoch falle auf, dass für die I.________ Limited dieselben Mitarbeiter zeichnungsberechtigt waren wie für die J.________ Limited. Teilweise waren diese Mitarbeiter gar als Direktoren der beiden Gesellschaften eingesetzt. Bankangestellte, die rein zufällig in Kontounterlagen erscheinen, besitzen (üblicherweise) keine Unterschriftsberechtigung. Die Identitäten der (mittelbar) für die Beschwerdeführerinnen bevollmächtigten Personen stellen ein wesentliches Element bei der Überprüfung der Geldflüsse dar, insbesondere wenn die fraglichen Personen wie hier gleich für mehrere Gesellschaften zeichnungsberechtigt sind; die voraussichtliche Erheblichkeit dieser Information ist deshalb zu bejahen (vgl. Urteil 2C_963/2014 vom 24. September 2015 E. 6.2, nicht publ. in: BGE 143 II 506 ).</w:t>
      </w:r>
    </w:p>
    <w:p>
      <w:r>
        <w:rPr>
          <w:b/>
        </w:rPr>
        <w:t>E. 4</w:t>
      </w:r>
    </w:p>
    <w:p>
      <w:r>
        <w:t>Die Beschwerdeführerinnen verweisen zudem auf den mangelhaften Datenschutz in Indien, wie ihn auch der Eidgenössische Datenschutz- und Öffentlichkeitsbeauftragte (EDÖB) in seiner Liste vom 12. Januar 2017 betreffend den Stand des Datenschutzes weltweit, S. 15, festgehalten habe.</w:t>
      </w:r>
    </w:p>
    <w:p>
      <w:r>
        <w:rPr>
          <w:b/>
        </w:rPr>
        <w:t>E. 4.1</w:t>
      </w:r>
    </w:p>
    <w:p>
      <w:r>
        <w:t>Der ausreichende Umfang des Datenschutzes lässt sich nicht abschliessend festhalten. Sowohl die Botschaft vom 16. Juni 2017 über die Einführung des automatischen Informationsaustauschs über Finanzkonten mit 41 Partnerstaaten ab 2018/2019 (BBl 2017 4913 4932) als auch die Botschaft vom 5. Juni 2015 zur Genehmigung des Übereinkommens des Europarats und der OECD über die gegenseitige Amtshilfe in Steuersachen und zu seiner Umsetzung (Änderung des Steueramtshilfegesetzes; BBl 2015 5585 5615) fassen die Problematik hinsichtlich der Liste des EDÖB im Zusammenhang mit der Amtshilfe in zutreffender Weise wie folgt zusammen: Da allgemein anerkannt ist, dass Steuerdaten speziell zu schützen sind, kennen diesbezüglich grundsätzlich alle Staaten spezifische Datenschutzvorschriften. Die EDÖB-Liste von Staaten, deren Gesetzgebung einen angemessenen Datenschutz gewährleistet, kann deshalb nur bedingt als Indikator für die Beantwortung der Frage herangezogen werden, ob ein Staat im Zusammenhang mit Daten, die auf Grund des Amtshilfeübereinkommens ausgetauscht werden, einen angemessenen Datenschutz gewährleistet. Die Liste des EDÖB gilt nämlich für alle Lebensbereiche und auch für Datenübermittlungen ins Ausland, die nicht auf einer staatsvertraglichen Rechtsgrundlage basieren.</w:t>
      </w:r>
    </w:p>
    <w:p>
      <w:r>
        <w:rPr>
          <w:b/>
        </w:rPr>
        <w:t>E. 4.2</w:t>
      </w:r>
    </w:p>
    <w:p>
      <w:r>
        <w:t>Letztlich ist der Abschluss eines DBA mit Indien jedoch ein politischer Entscheid, und völkerrechtliche Verpflichtungen sind für die Gerichte verbindlich ( Art. 190 BV ). Der Gesetzgeber hat entschieden, dass er im Zusammenhang mit der Gewährung der Amtshilfe in Steuersachen den Datenschutz in Indien aufgrund der abgegebenen staatsvertraglichen Zusicherungen als ausreichend betrachtet - auch wenn dieses Vorgehen nicht ohne Kritik in der Lehre geblieben ist (allgemein zur Vermutung der Rechtsstaatlichkeit durch blossen Abschluss eines DBA: ANDREA OPEL, Trau, schau, wem - Zum Grundsatz von Treu und Glauben im internationalen Steueramtshilfeverkehr, ASA 86 S. 281 ff. [zit. Trau, schau, wem]; ROBERT WEYENETH, Der nationale und internationale ordre public im Rahmen der grenzüberschreitenden Amtshilfe in Steuersachen, S. 373). Die Schweiz behält sich immerhin vor, die Entwicklung in Indien weiter zu beobachten und - falls geboten - darauf zu reagieren (vgl. dazu BBl 2017 4913 4932). Sowohl Art. 22 Abs. 5 StAhiG als auch das DSG verpflichten die ESTV, zuhanden der ersuchenden Behörde auf eine Verwendungsbeschränkung zu verweisen. Ist eine solche, wie vorliegend, in der Schlussverfügung enthalten, verletzt die Übermittlung der Informationen Art. 6 Abs. 2 lit. a DSG im Grunde nicht (so auch der vorinstanzliche Entscheid E. 2.4.4).</w:t>
      </w:r>
    </w:p>
    <w:p>
      <w:r>
        <w:rPr>
          <w:b/>
        </w:rPr>
        <w:t>E. 4.3</w:t>
      </w:r>
    </w:p>
    <w:p>
      <w:r>
        <w:t>In internationalen Beziehungen ist grundsätzlich vom guten Glauben der Vertragsstaaten auszugehen. In Zusammenhang mit der Amtshilfe in Steuersachen bedeutet dies, dass in der Regel kein Anlass besteht, an der Richtigkeit und Einhaltung der Sachverhaltsdarstellung und an Erklärungen anderer Staaten zu zweifeln ( BGE 143 II 202 E. 8.7.1 S. 221, 224 E. 6.3 S. 230; 142 II 161 E. 2.1.3 S. 167 f.; 128 II 407 E. 3.2, 4.3.1 und 4.3.3). Solange der ersuchende Staat bis anhin die vertraglichen Verpflichtungen eingehalten hat und keine konkreten Indizien vorhanden sind, dass er dies in Zukunft nicht mehr zu tun gedenkt, darf die Vertragstreue vermutet werden. Vorliegend sind keine Anhaltspunkte ersichtlich, dass sich der ersuchende Staat nicht an seine vertraglichen Verpflichtungen halten wird, weshalb der Gewährung der Amtshilfe insofern nichts entgegensteht ( BGE 128 II 407 E. 3.2 S. 411; kritisch dazu OPEL, Trau, schau, wem, S. 281, 286 und 289 ff., welche je nach rechtsstaatlichem Standard des ersuchenden Staates ausdrückliche Zusicherungen verlangt).</w:t>
      </w:r>
    </w:p>
    <w:p>
      <w:r>
        <w:rPr>
          <w:b/>
        </w:rPr>
        <w:t>E. 4.4</w:t>
      </w:r>
    </w:p>
    <w:p>
      <w:r>
        <w:t>Die Beschwerdeführerinnen verweisen ausserdem auf die Rechtsprechung der zivilgerichtlichen Abteilung des Bundesgerichts (Urteile 4A_73/2017 vom 26. Juli 2017 und 4A_83/2016 vom 22. September 2016). In diesen Entscheiden wurde die Datenübermittlung an die USA gestützt auf Art. 6 Abs. 1 DSG jedoch ausserhalb des Doppelbesteuerungsabkommens untersagt und sie sind schon deshalb nur beschränkt auf das Amtshilfeverfahren übertragbar. Zudem richtet sich das vorliegende Verfahren nach dem StAhiG, welches als spezialgesetzliche Amtshilfevorschrift dem DSG als lex specialis vorgeht (JENNIFER EHRENSPERGER, in: Basler Kommentar zum Datenschutzgesetz und Öffentlichkeitsgesetz, 3. Aufl. 2014, N. 11 zu Art. 19 DSG ; BGE 143 II 506 E. 5.2.2 spezifisch zu Art. 4 Abs. 3 StAhiG ).</w:t>
      </w:r>
    </w:p>
    <w:p>
      <w:r>
        <w:rPr>
          <w:b/>
        </w:rPr>
        <w:t>E. 4.5</w:t>
      </w:r>
    </w:p>
    <w:p>
      <w:r>
        <w:t>Die Ausführungen der Beschwerdeführerinnen wie es sich mit der Übermittlung von Informationen verhält, die nicht voraussichtlich erheblich sind, muss nicht weiter erörtert werden, da diese Situation vorliegend gerade nicht besteht (vgl. E. 3).</w:t>
      </w:r>
    </w:p>
    <w:p>
      <w:r>
        <w:rPr>
          <w:b/>
        </w:rPr>
        <w:t>E. 5</w:t>
      </w:r>
    </w:p>
    <w:p>
      <w:r>
        <w:t>Nach dem Gesagten erweist sich die Beschwerde insgesamt als unbegründet und ist abzuweisen, soweit darauf eingetreten werden kann. Bei diesem Verfahrensausgang sind die bundesgerichtlichen Kosten den Beschwerdeführerinnen unter solidarischer Haftung aufzuerlegen ( Art. 66 Abs. 1 und 5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