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2C_614/2013 vom 28. März 2014</w:t>
      </w:r>
    </w:p>
    <w:p>
      <w:r>
        <w:t>Bundesgericht, 2014-03-28, FR</w:t>
      </w:r>
    </w:p>
    <w:p>
      <w:r>
        <w:rPr>
          <w:b/>
        </w:rPr>
        <w:t xml:space="preserve">Quelle: </w:t>
      </w:r>
      <w:r>
        <w:t>https://mcp.opencaselaw.ch/entscheid/bger_2C_614_2013</w:t>
      </w:r>
    </w:p>
    <w:p>
      <w:r>
        <w:t>FR: TF 2C_614/2013 du 28 mars 2014</w:t>
      </w:r>
    </w:p>
    <w:p>
      <w:r>
        <w:t>IT: TF 2C_614/2013 del 28 marzo 2014</w:t>
      </w:r>
    </w:p>
    <w:p>
      <w:pPr>
        <w:pStyle w:val="Heading2"/>
      </w:pPr>
      <w:r>
        <w:t>Erwägungen</w:t>
      </w:r>
    </w:p>
    <w:p>
      <w:r>
        <w:rPr>
          <w:b/>
        </w:rPr>
        <w:t>E. 1</w:t>
      </w:r>
    </w:p>
    <w:p>
      <w:r>
        <w:t>Le Tribunal fédéral examine d'office et librement la recevabilité des recours qui lui sont soumis ( art. 29 al. 1 LTF ; cf. ATF 139 V 42 consid. 1 p. 44).</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501).</w:t>
      </w:r>
    </w:p>
    <w:p>
      <w:r>
        <w:t>La recourante invoque, sous l'angle des art. 13 Cst. et 8 CEDH, son droit à la protection de la vie familiale pour entretenir une relation avec son fils et sa belle-fille, tous deux au bénéfice d'un titre de séjour en Suisse, ainsi qu'avec ses petits-enfants. On peut se demander si, au vu de la jurisprudence restrictive du Tribunal fédéral en matière de regroupement familial entre parents et enfants adultes (cf. ATF 129 II 11 consid. 2 p. 14; arrêt 2C_546/2013 du 5 décembre 2013 consid. 1.1.2), la recourante peut se prévaloir de ces dispositions pour en déduire un droit à une autorisation de séjour. La question peut cependant demeurer indécise, le recours devant de toute manière être rejeté, comme il sera démontré ci-après.</w:t>
      </w:r>
    </w:p>
    <w:p>
      <w:r>
        <w:t>La voie du recours en matière de droit public sera donc considérée comme ouverte, ce qui entraîne l'irrecevabilité du recours constitutionnel subsidiaire.</w:t>
      </w:r>
    </w:p>
    <w:p>
      <w:r>
        <w:rPr>
          <w:b/>
        </w:rPr>
        <w:t>E. 1.2</w:t>
      </w:r>
    </w:p>
    <w:p>
      <w:r>
        <w:t>Dans la mesure où la recourante fait valoir une violation de l'art. 30 al. 1 let. b LEtr, son recours en matière de droit public est en revanche irrecevable ( art. 83 let . c ch. 2 LTF). Cette disposition concerne en effet une autorisation de nature potestative (Kann-Vorschrift; arrêt 2C_400/2011 du 2 décembre 2011 consid. 1.2.2). Le Tribunal fédéral ne pourrait par conséquent examiner l'application de l'art. 30 al. 1 let. b LEtr par les autorités cantonales que dans les limites du recours constitutionnel subsidiaire ( art. 113 ss LTF ). Or, la recourante ne soulève pas de griefs de nature constitutionnelle qui seraient recevables (cf. art. 116 LTF ; arrêt 2C_803/2010 du 14 juin 2011 consid. 3).</w:t>
      </w:r>
    </w:p>
    <w:p>
      <w:r>
        <w:rPr>
          <w:b/>
        </w:rPr>
        <w:t>E. 1.3</w:t>
      </w:r>
    </w:p>
    <w:p>
      <w:r>
        <w:t>Pour le surplus, s'en prenant à l'arrêt du Tribunal cantonal du 5 juin 2013, le recours est dirigé contre une décision finale ( art. 90 LTF ) rendue en dernière instance cantonale par un tribunal supérieur ( art. 86 al. 1 let . d et al. 2 LTF); en outre, il a été déposé en temps utile ( art. 100 al. 1 LTF ) et dans les formes prescrites ( art. 42 LTF ) par la destinataire de l'arrêt attaqué qui a un intérêt digne de protection à son annulation ou à sa modification ( art. 89 al. 1 LTF ). Par conséquent, il convient d'entrer en matière.</w:t>
      </w:r>
    </w:p>
    <w:p>
      <w:r>
        <w:rPr>
          <w:b/>
        </w:rPr>
        <w:t>E. 2.1</w:t>
      </w:r>
    </w:p>
    <w:p>
      <w:r>
        <w:t>Saisi d'un recours en matière de droit public, le Tribunal fédéral examine librement la violation du droit fédéral et du droit international (cf. art. 95 let. a et b ainsi que 106 al. 1 LTF),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137 I 1 consid. 2.4 p. 5;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2.2</w:t>
      </w:r>
    </w:p>
    <w:p>
      <w:r>
        <w:t>Tout au long de son écriture, la recourante discute librement les faits retenus par le Tribunal cantonal comme elle le ferait devant une Cour d'appel. Un tel procédé est inadmissible devant le Tribunal fédéral. A cela s'ajoute qu'il ne suffit pas de déclarer un état de fait arbitraire pour que soit ouverte la voie d'une critique appellatoire de l'arrêt entrepris. Il convient au contraire d'établir de manière précise en quoi les mécanismes mis en oeuvre par l'instance précédente pour fixer l'état de fait étaient à ce point déficients qu'ils en seraient devenus arbitraires. Une telle obligation de motivation, déduite de l' art. 106 al. 2 LTF , n'a nullement été respectée en la cause. Conformément à l' art. 105 al. 1 LTF , le Tribunal fédéral examinera donc l'application du droit fédéral sur la base des seuls faits retenus par le Tribunal cantonal.</w:t>
      </w:r>
    </w:p>
    <w:p>
      <w:r>
        <w:rPr>
          <w:b/>
        </w:rPr>
        <w:t>E. 3.1</w:t>
      </w:r>
    </w:p>
    <w:p>
      <w:r>
        <w:t>La recourante invoque, sous l'angle des art. 8 CEDH et 13 Cst. - qui ont sur ce point une teneur identique -, son droit à entretenir une relation avec son fils majeur, titulaire d'une autorisation d'établissement, sa belle-fille et ses petits enfants. Ainsi que l'a relevé le Tribunal cantonal, l'extension de la protection de l' art. 8 CEDH aux ressortissants étrangers majeurs suppose l'existence d'un lien de dépendance comparable à celui qui unit les parents à leurs enfants mineurs. Le handicap ou la maladie grave doivent nécessiter une présence, une surveillance, des soins et une attention que seuls des proches parents sont généralement susceptibles d'assumer et de prodiguer (arrêts 2C_546/2013 du 5 décembre 2013 consid. 4.1; 2D_7/2013 du 30 mai 2013 consid. 7.1, avec références). En revanche, des difficultés économiques ou d'autres problèmes d'organisation ne sauraient être assimilés à un handicap ou une maladie grave rendant irremplaçable l'assistance de proches parents (cf. arrêts 2C_817/2010 du 24 mars 2011 consid. 4; 2C_174/2007 du 12 juillet 2007 consid. 3.4; 2A.31/2004 du 26 janvier 2004 consid. 2.1.2; 2A.30/2004 du 23 janvier 2004 consid. 2.2); le seul manque de moyens financiers ne fonde pas un droit à se prévaloir de l' art. 8 CEDH pour obtenir le droit de séjourner auprès de personnes de la famille susceptibles de pourvoir à l'entretien manquant.</w:t>
      </w:r>
    </w:p>
    <w:p>
      <w:r>
        <w:rPr>
          <w:b/>
        </w:rPr>
        <w:t>E. 3.2</w:t>
      </w:r>
    </w:p>
    <w:p>
      <w:r>
        <w:t>En l'occurrence, la recourante ne se trouve pas vis-à-vis de son fils et de sa belle-fille dans un rapport de dépendance particulier. Le fait que ces derniers contribuent financièrement à l'entretien de l'intéressée ne crée pas un tel rapport de dépendance. Par ailleurs, quand bien même la recourante souffre d'une pathologie dorso-lombalgique, même nécessitant un suivi médical régulier et un traitement depuis une année, son état de santé ne demande pas une présence, une surveillance, des soins et une attention que seuls ses proches parents seraient susceptibles d'assumer et de prodiguer. Le fait qu'en raison de son illettrisme la recourante nécessite une aide quotidienne n'est à cet égard pas déterminant. La Cour cantonale a ainsi justement nié toute situation de dépendance liée à un proche résidant en Suisse en relation avec cette affection, au sens des art. 8 CEDH et 13 Cst.</w:t>
      </w:r>
    </w:p>
    <w:p>
      <w:r>
        <w:t>Au demeurant, la recourante ne prétend pas que sa petite-fille trisomique soit dans un rapport de dépendance avec elle-même, ce qui ne ressort du reste pas de l'arrêt attaqué, de sorte que, sous cet angle également, l'intéressée ne peut se prévaloir de l' art. 8 CEDH (cf. arrêt 2C_1005/20011 du 12 juin 2012 consid. 1.3</w:t>
      </w:r>
    </w:p>
    <w:p>
      <w:r>
        <w:t>a contrario ).</w:t>
      </w:r>
    </w:p>
    <w:p>
      <w:r>
        <w:t>Le grief est ainsi rejeté. Il est pour le reste renvoyé à l'analyse complète et pertinente du Tribunal cantonal sur cette question ( art. 109 al. 3 LTF ).</w:t>
      </w:r>
    </w:p>
    <w:p>
      <w:r>
        <w:rPr>
          <w:b/>
        </w:rPr>
        <w:t>E. 4</w:t>
      </w:r>
    </w:p>
    <w:p>
      <w:r>
        <w:t>Au vu de ce qui précède, il y a lieu de rejeter le recours dans la mesure où il est recevable. Succombant, la recourante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