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2C_611/2019 vom 22. August 2019</w:t>
      </w:r>
    </w:p>
    <w:p>
      <w:r>
        <w:t>Bundesgericht, 2019-08-22, FR</w:t>
      </w:r>
    </w:p>
    <w:p>
      <w:r>
        <w:rPr>
          <w:b/>
        </w:rPr>
        <w:t xml:space="preserve">Quelle: </w:t>
      </w:r>
      <w:r>
        <w:t>https://mcp.opencaselaw.ch/entscheid/bger_2C_611_2019</w:t>
      </w:r>
    </w:p>
    <w:p>
      <w:r>
        <w:t>FR: TF 2C_611/2019 du 22 août 2019</w:t>
      </w:r>
    </w:p>
    <w:p>
      <w:r>
        <w:t>IT: TF 2C_611/2019 del 22 agosto 2019</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Le recourant se prévaut de l' art. 8 CEDH et de la protection de la vie privée dès lors qu'il vit en Suisse depuis plusieurs années.</w:t>
      </w:r>
    </w:p>
    <w:p>
      <w:r>
        <w:t>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(ATF 2C_459/2019 du 17 mai 2019 consid. 3.1).</w:t>
      </w:r>
    </w:p>
    <w:p>
      <w:r>
        <w:t>En l'espèce, le recourant n'a séjourné en Suisse qu'au bénéfice d'autorisations de formation fondées sur les art. 30 al. 1 let . g LEI et 40 OASA. Il ne peut par conséquent pas invoquer de manière soutenable la protection de sa vie privée garantie par l' art. 8 CEDH .</w:t>
      </w:r>
    </w:p>
    <w:p>
      <w:r>
        <w:rPr>
          <w:b/>
        </w:rPr>
        <w:t>E. 1.2</w:t>
      </w:r>
    </w:p>
    <w:p>
      <w:r>
        <w:t>Le recourant soutient ensuite en vain que les art. 1 et 36 LPMéd , qui règlent le droit d'exercer la profession de médecin à titre d'activité économique privée sous sa propre responsabilité professionnelle sur tout le territoire suisse, lui confèrent le droit à une autorisation de séjour avec activité lucrative. En effet, comme l'a jugé à bon droit l'instance précédente, le droit d'exercer la profession de médecin régi par la LPMéd et les droits cantonaux ne se confond pas avec le droit d'obtenir une autorisation de séjour régi par la LEI. Ni l'une ni l'autre loi fédérale ne contiennent de renvoi à l'une ou à l'autre, de sorte que chacune d'elle énonce des prescriptions valant pour leur propre domaine d'application auxquelles le recourant est tenu de répondre séparément. En l'espèce, le recourant a certes obtenu le droit d'exercer la profession de médecin à titre d'activité économique privée sous sa propre responsabilité professionnelle sur tout le territoire suisse, mais il n'a aucun droit d'obtenir une autorisation de séjour.</w:t>
      </w:r>
    </w:p>
    <w:p>
      <w:r>
        <w:rPr>
          <w:b/>
        </w:rPr>
        <w:t>E. 1.3</w:t>
      </w:r>
    </w:p>
    <w:p>
      <w:r>
        <w:t>Enfin, en raison de sa formulation potestative, l' art. 27 LEI ne confère aucun droit au recourant.</w:t>
      </w:r>
    </w:p>
    <w:p>
      <w:r>
        <w:t>Il s'ensuit que le recours en matière de droit public 2C_611/2019 est irrecevable.</w:t>
      </w:r>
    </w:p>
    <w:p>
      <w:r>
        <w:rPr>
          <w:b/>
        </w:rPr>
        <w:t>E. 2.1</w:t>
      </w:r>
    </w:p>
    <w:p>
      <w:r>
        <w:t>La voie du recours constitutionnel subsidiaire ( art. 113 ss LTF ) reste ouverte pour violation des droits constitutionnels ( art. 116 LTF ) qui doit toutefois être invoquée expressément conformément aux exigences accrues de motivation des art. 106 al. 2 et 117 LTF .</w:t>
      </w:r>
    </w:p>
    <w:p>
      <w:r>
        <w:rPr>
          <w:b/>
        </w:rPr>
        <w:t>E. 2.2</w:t>
      </w:r>
    </w:p>
    <w:p>
      <w:r>
        <w:t>Invoquant l' art. 9 Cst. , le recourant demande la protection de sa bonne foi. Il n'expose toutefois pas en quoi les conditions de protection de celle-ci telles qu'énoncées par la jurisprudence ont été violées. Dépourvu de motivation conformes aux exigences accrues des art. 106 al. 2 et 117 LTF , le grief ne peut pas être examiné.</w:t>
      </w:r>
    </w:p>
    <w:p>
      <w:r>
        <w:t>A supposer que le grief puisse néanmoins être examiné, il devrait être rejeté, puisque le recourant se prévaut en vain d'une situation acquise. Il ressort des faits retenus dans l'arrêt du 29 mai 2019 du Tribunal cantonal neuchâtelois - qui lient le Tribunal fédéral ( art. 118 al. 1 LTF ) et qui n'ont pas fait l'objet de critiques recevables (art. 118 al. 2 par 106 al. 2 et 117 LTF) - que le recourant ne peut se prévaloir d'aucune décision ni promesse qui l'aurait placé dans une telle situation : la décision du 13 mars 2017 du Service cantonal neuchâtelois a refusé de lui délivrer une autorisation de séjour avec activité lucrative; la décision du 29 janvier 2018 du Département cantonal neuchâtelois ne lui a octroyé qu'"</w:t>
      </w:r>
    </w:p>
    <w:p>
      <w:r>
        <w:t>à titre exceptionnel une autorisation de séjour limitée à la durée nécessaire à la régularisation de la situation "; le courrier du Service cantonal neuchâtelois du 22 mars 2018 a signalé l'absence d'autorisations de séjour avec activité lucrative dans les cantons de Genève et de Fribourg; enfin, la décision du 12 avril 2018 de ce même Service cantonal a refusé toute autorisation de séjour à défaut d'une procédure de régularisation en cours dans les cantons de Genève et Fribourg. A cet égard, du reste, le recourant se prévaut à tort de l'entrée en force de la décision du 29 janvier 2018 du Département cantonal neuchâtelois, puisque celle-ci ne lui accordait qu'à titre exceptionnel, sous conditions (de l'existence d'une procédure de régularisation) et pour une durée limitée une autorisation de séjour. Au vu de son contenu, par conséquent, elle ne lui offrait par définition aucune situation acquise ni ne constituait une promesse en sa faveur.</w:t>
      </w:r>
    </w:p>
    <w:p>
      <w:r>
        <w:rPr>
          <w:b/>
        </w:rPr>
        <w:t>E. 2.3</w:t>
      </w:r>
    </w:p>
    <w:p>
      <w:r>
        <w:t>Invoquant l' art. 8 Cst. , le recourant se plaint encore de la violation du droit à l'égalité. Il soutient que deux de ses collègues, qui ont connu le même parcours professionnel, ont obtenu une</w:t>
      </w:r>
    </w:p>
    <w:p>
      <w:r>
        <w:t>autorisation d'établissement de manière anticipée . Ce grief ne peut pas être examiné parce qu'il n'a aucun lien avec la conclusion du recours tendant à l'octroi d'une</w:t>
      </w:r>
    </w:p>
    <w:p>
      <w:r>
        <w:t>autorisation de séjour avec activité lucrative .</w:t>
      </w:r>
    </w:p>
    <w:p>
      <w:r>
        <w:rPr>
          <w:b/>
        </w:rPr>
        <w:t>E. 2.4</w:t>
      </w:r>
    </w:p>
    <w:p>
      <w:r>
        <w:t>Enfin, invoquant l' art. 29 al. 2 Cst. , le recourant se plaint aussi de la violation de son droit d'être entendu. Il soutient que seuls ses employeurs déposaient les demandes d'autorisation de séjour et qu'il ne savait pas ce qu'il en était. Il n'expose toutefois pas, même succinctement, le contenu du droit d'être entendu ni en quoi concrètement il aurait été violé par le Tribunal cantonal. Ne répondant pas aux exigences de motivation accrues des art. 106 al. 2 et 117 LTF , le grief ne peut pas être examiné.</w:t>
      </w:r>
    </w:p>
    <w:p>
      <w:r>
        <w:rPr>
          <w:b/>
        </w:rPr>
        <w:t>E. 3</w:t>
      </w:r>
    </w:p>
    <w:p>
      <w:r>
        <w:t>Le recours est par conséquent irrecevable.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