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610/2022 vom 27. Juli 2022</w:t>
      </w:r>
    </w:p>
    <w:p>
      <w:r>
        <w:t>Bundesgericht, 2022-07-27, FR</w:t>
      </w:r>
    </w:p>
    <w:p>
      <w:r>
        <w:rPr>
          <w:b/>
        </w:rPr>
        <w:t xml:space="preserve">Quelle: </w:t>
      </w:r>
      <w:r>
        <w:t>https://mcp.opencaselaw.ch/entscheid/bger_2C_610_2022</w:t>
      </w:r>
    </w:p>
    <w:p>
      <w:r>
        <w:t>FR: TF 2C 610/2022 du 27 juillet 2022</w:t>
      </w:r>
    </w:p>
    <w:p>
      <w:r>
        <w:t>IT: TF 2C 610/2022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31 août 2020, A.________ s'est opposée à toute transmission d'informations la concernant à l'autorité requérante.</w:t>
      </w:r>
    </w:p>
    <w:p>
      <w:r>
        <w:rPr>
          <w:b/>
        </w:rPr>
        <w:t>E. 1.4</w:t>
      </w:r>
    </w:p>
    <w:p>
      <w:r>
        <w:t>Par décision finale du 17 février 2021 notifiée à A.________, l'Administration fédérale a accordé l'assistance administrative à l'autorité française. A.________ a recouru contre cette décision auprès du Tribunal administratif fédéral. Elle a demandé à être au préalable autorisée à consulter le dossier et à compléter son recours. Sur le fond, elle a conclu à l'annulation de la décision finale du 17 février 2021 et au rejet de la demande d'assistance administrative du 11 mai 2016. Par arrêt du 4 juillet 2022, le Tribunal administratif fédéral a rejeté les requêtes préalables et le recours.</w:t>
      </w:r>
    </w:p>
    <w:p>
      <w:r>
        <w:rPr>
          <w:b/>
        </w:rPr>
        <w:t>E. 1.5</w:t>
      </w:r>
    </w:p>
    <w:p>
      <w:r>
        <w:t>A l'encontre de cet arrêt, A.________ forme un recours en matière de droit public au Tribunal fédéral. Elle conclut à son annulation et au rejet de la demande d'assistance administrative du 11 mai 2016. Elle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La recourante soutient que la présente cause soulève les trois questions juridiques de principe suivantes: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La recourante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la recourante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la recourante ait eu un intérêt à demander son octroi, puisque l'effet suspensif est prévu à l' art. 103 al. 2 let . d LTF (arrêts 2C_232/2022 du 5 avril 2022 consid. 3; 2C_57/2022 du 24 janvier 2022 consid. 4).</w:t>
      </w:r>
    </w:p>
    <w:p>
      <w:r>
        <w:rPr>
          <w:b/>
        </w:rPr>
        <w:t>E. 5</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