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2C_60/2016 vom 25. Mai 2016</w:t>
      </w:r>
    </w:p>
    <w:p>
      <w:r>
        <w:t>Bundesgericht, 2016-05-25, FR</w:t>
      </w:r>
    </w:p>
    <w:p>
      <w:r>
        <w:rPr>
          <w:b/>
        </w:rPr>
        <w:t xml:space="preserve">Quelle: </w:t>
      </w:r>
      <w:r>
        <w:t>https://mcp.opencaselaw.ch/entscheid/bger_2C_60_2016</w:t>
      </w:r>
    </w:p>
    <w:p>
      <w:r>
        <w:t>FR: TF 2C_60/2016 du 25 mai 2016</w:t>
      </w:r>
    </w:p>
    <w:p>
      <w:r>
        <w:t>IT: TF 2C_60/2016 del 25 maggio 2016</w:t>
      </w:r>
    </w:p>
    <w:p>
      <w:pPr>
        <w:pStyle w:val="Heading2"/>
      </w:pPr>
      <w:r>
        <w:t>Erwägungen</w:t>
      </w:r>
    </w:p>
    <w:p>
      <w:r>
        <w:rPr>
          <w:b/>
        </w:rPr>
        <w:t>E. 1.1</w:t>
      </w:r>
    </w:p>
    <w:p>
      <w:r>
        <w:t>Le recourant se prévaut en particulier des art. 50 al. 1 let. b LEtr (RS 142.20) ainsi que 8 CEDH. Dans les deux cas, il invoque de manière soutenable son droit à entretenir une relation avec son fils de nationalité italienne au bénéfice d'une autorisation d'établissement UE/AELE. Son recours échappe par conséquent au motif d'irrecevabilité prévu à l' art. 83 let . c ch. 2 LTF ( ATF 136 II 497 consid. 3.3 p. 500 ss).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 arrêt final ( art. 90 LTF ) du Tribunal administratif fédéral ( art. 86 al. 1 let. a LTF ) rendu dans une cause de droit public ( art. 82 let. a LTF ), est recevable, sous réserve de ce qui suit.</w:t>
      </w:r>
    </w:p>
    <w:p>
      <w:r>
        <w:rPr>
          <w:b/>
        </w:rPr>
        <w:t>E. 1.2</w:t>
      </w:r>
    </w:p>
    <w:p>
      <w:r>
        <w:t>La conclusion tendant à l'annulation de la décision du Secrétariat d'Etat est irrecevable en raison de l'effet dévolutif complet du recours auprès du Tribunal administratif fédéral ( ATF 136 II 539 consid. 1.2 p. 543).</w:t>
      </w:r>
    </w:p>
    <w:p>
      <w:r>
        <w:rPr>
          <w:b/>
        </w:rPr>
        <w:t>E. 2</w:t>
      </w:r>
    </w:p>
    <w:p>
      <w:r>
        <w:t>Citant les art. 29 Cst. et 6 CEDH, le recourant invoque en premier lieu une violation de son droit d'être entendu. Il estime que le Tribunal administratif fédéral n'a pas attendu qu'il transmette un extrait de son casier judiciaire pour statuer et ne s'est pas prononcé en prenant en compte un état des faits actualisé.</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130 II 425 consid. 2.1 p. 428 s.).</w:t>
      </w:r>
    </w:p>
    <w:p>
      <w:r>
        <w:rPr>
          <w:b/>
        </w:rPr>
        <w:t>E. 2.2</w:t>
      </w:r>
    </w:p>
    <w:p>
      <w:r>
        <w:t>Dans un premier temps, le recourant estime que l'autorité précédente aurait dû attendre la production de l'extrait de son casier judiciaire avant de statuer. Il n'explique toutefois pas en quoi cet extrait aurait eu une quelconque incidence sur l'issue de la cause. De plus, on ajoutera que dans son courrier du 1</w:t>
      </w:r>
    </w:p>
    <w:p>
      <w:r>
        <w:t>er septembre 2015 adressé à l'autorité précédente et faisant suite à une ordonnance de cette dernière relative à la production de divers moyens de preuve, le recourant a indiqué que, selon toute vraisemblance, il " devrait parvenir à (...) recevoir (l'extrait de son casier judiciaire) dans le courant de la semaine prochaine ". Au vu de cette affirmation et sans autres indications subséquentes du recourant, on ne saurait reprocher au Tribunal administratif fédéral d'avoir statué en l'absence de ce moyen de preuve trois mois plus tard.</w:t>
      </w:r>
    </w:p>
    <w:p>
      <w:r>
        <w:t>Le recourant reproche également à l'autorité précédente d'avoir statué sans tenir compte de ses indications quant à la fréquence de l'exercice de son droit de visite sur son fils, fournies dans son courrier du 1</w:t>
      </w:r>
    </w:p>
    <w:p>
      <w:r>
        <w:t>er septembre 2015. On doit toutefois relever que le Tribunal administratif fédéral, dans son ordonnance du 15 juillet 2015, avait demandé au recourant de démontrer, pièces justificatives à l'appui, les relations qu'il entretenait avec ses enfants, ce qu'il n'a pas fait. L'autorité précédente a pris en compte cette absence de moyen de preuve dans l'arrêt entrepris. Certes, le recourant a fourni trois attestations de versements. Toutefois, contrairement à ce qu'il affirme, celles-ci ont également été prises en compte dans l'arrêt contesté. De plus, et pour autant que ces moyens de preuve aient une incidence sur l'issue de la cause, ce que le recourant ne démontre pas à suffisance, ils ne sont de toute façon que peu probants, puisqu'ils ne permettent pas de déterminer quels sont les expéditeurs et destinataires des versements.</w:t>
      </w:r>
    </w:p>
    <w:p>
      <w:r>
        <w:t>Dans ces conditions, en tant que le recourant invoque une violation de son droit d'être entendu, son grief doit être écarté. Le Tribunal fédéral vérifiera donc la correcte application du droit sur la seule base des faits retenus par l'autorité précédente.</w:t>
      </w:r>
    </w:p>
    <w:p>
      <w:r>
        <w:rPr>
          <w:b/>
        </w:rPr>
        <w:t>E. 3</w:t>
      </w:r>
    </w:p>
    <w:p>
      <w:r>
        <w:t>Le recourant invoque la violation des art. 50 al. 1 let. b LEtr et 8 CEDH, en ce que le Tribunal administratif fédéral n'a pas apprécié à leur juste valeur les liens qu'il entretient avec ses deux enfants.</w:t>
      </w:r>
    </w:p>
    <w:p>
      <w:r>
        <w:rPr>
          <w:b/>
        </w:rPr>
        <w:t>E. 3.1</w:t>
      </w:r>
    </w:p>
    <w:p>
      <w:r>
        <w:t>En premier lieu, il convient d'emblée de mentionner que le recourant ne saurait être suivi lorsqu'il invoque ses liens avec sa fille, ressortissante congolaise née en 2011, pour fonder un droit à une autorisation de séjour. Selon les faits retenus par le Tribunal administratif fédéral, cette enfant ne bénéficie en effet d'aucun droit de présence assuré en Suisse qui permettrait au recourant de prétendre à une autorisation de séjour au titre du regroupement familial inversé (cf. ATF 140 I 145 consid. 3.3 p. 148; 137 I 351 consid. 3.1 p. 354 s.). Que le recourant s'acquitte de manière régulière de la contribution d'entretien et qu'il partage du temps avec elle n'y change rien.</w:t>
      </w:r>
    </w:p>
    <w:p>
      <w:r>
        <w:rPr>
          <w:b/>
        </w:rPr>
        <w:t>E. 3.2</w:t>
      </w:r>
    </w:p>
    <w:p>
      <w:r>
        <w:t>A l'instar de ce qu'a retenu le Tribunal administratif fédéral, il faut constater que le recourant ne saurait pas plus invoquer l'ALCP pour prétendre à l'octroi d'une autorisation de séjour en Suisse, ce que celui-ci ne fait d'ailleurs pas. Certes, son fils est de nationalité italienne et bénéficie d'une autorisation d'établissement UE/AELE en Suisse. Toutefois, comme l'a retenu l'autorité précédente, le recourant n'a ni l'autorité parentale, ni la garde sur son enfant. Or, la garde d'un enfant au bénéfice d'un droit de séjour en Suisse est une condition essentielle, selon la jurisprudence de la Cour de justice de l'Union européenne (arrêt du 19 octobre 2004 C-200/02</w:t>
      </w:r>
    </w:p>
    <w:p>
      <w:r>
        <w:t>Zhu et Chen, n° 45 ss), reprise par le Tribunal fédéral (arrêt 2C_253/2012 du 11 janvier 2013 consid. 4), pour que le parent étranger puisse lui-même prétendre à un droit de séjour en Suisse sur la base de l'ALCP.</w:t>
      </w:r>
    </w:p>
    <w:p>
      <w:r>
        <w:rPr>
          <w:b/>
        </w:rPr>
        <w:t>E. 3.3</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l'espèce, le recourant a divorcé d'une ressortissante italienne au bénéfice d'une autorisation d'établissement. Il ne peut se prévaloir de l'art. 43 LEtr.</w:t>
      </w:r>
    </w:p>
    <w:p>
      <w:r>
        <w:rPr>
          <w:b/>
        </w:rPr>
        <w:t>E. 3.4</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La période minimale de trois ans de l'union conjugale commence à courir dès le début de la cohabitation effective des époux en Suisse et s'achève au moment où ceux-ci cessent de faire ménage commun ( ATF 140 II 345 consid. 4.1 p. 348; 138 II 229 consid. 2 p. 231; 136 II 113 consid. 3.3.3 p. 119). En l'espèce, le recourant s'est marié le 11 mars 2005 avec une ressortissante italienne au bénéfice d'une autorisation d'établissement et s'est séparé de celle-ci au mois d'août 2006, si bien que son union conjugale a duré moins de trois ans. Partant, il ne peut, ce qu'il ne fait d'ailleurs pas, se prévaloir de l'art. 50 al. 1 let. a LEtr.</w:t>
      </w:r>
    </w:p>
    <w:p>
      <w:r>
        <w:rPr>
          <w:b/>
        </w:rPr>
        <w:t>E. 4</w:t>
      </w:r>
    </w:p>
    <w:p>
      <w:r>
        <w:t>Il convient par conséquent d'examiner dans quelle mesure la poursuite du séjour du recourant en Suisse s'impose pour des raisons personnelles majeures au sens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318 s.; arrêt 2C_327/2010 du 19 mai 2011 consid. 2.2 i.f., non publié in ATF 137 I 247 ). Dans ce cas, les conditions posées par l'art. 50 al. 1 let. b LEtr ne recoupent pas nécessairement celles de l'octroi d'une autorisation de séjour fondée sur l' art. 8 CEDH (arrêt 2C_411/2010 du 9 novembre 2010 consid. 5, non publié in ATF 137 II 1 ). Le droit au respect de la vie familiale garantie par les art. 8 CEDH et 13 Cst. doit néanmoins être pris en compte dans l'application de l'art. 50 al. 1 let. b LEtr dont l'application ne saurait être plus restrictive que celle des art. 8 CEDH et 13 Cst. (cf. ATF 139 I 315 consid. 2.1 p. 318 s.; arrêts 2C_318/2013 du 5 septembre 2013 consid. 3.3; 2C_996/2011 du 28 juin 2012 consid. 2.1 et les références citées).</w:t>
      </w:r>
    </w:p>
    <w:p>
      <w:r>
        <w:rPr>
          <w:b/>
        </w:rPr>
        <w:t>E. 4.2.1</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p. 319 et les arrêts cités).</w:t>
      </w:r>
    </w:p>
    <w:p>
      <w:r>
        <w:rPr>
          <w:b/>
        </w:rPr>
        <w:t>E. 4.2.2</w:t>
      </w:r>
    </w:p>
    <w:p>
      <w:r>
        <w:t>L'exigence du lien affectif particulièrement fort doit être considérée comme remplie sur le plan affectif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 p. 320 ss).</w:t>
      </w:r>
    </w:p>
    <w:p>
      <w:r>
        <w:rPr>
          <w:b/>
        </w:rPr>
        <w:t>E. 4.2.3</w:t>
      </w:r>
    </w:p>
    <w:p>
      <w:r>
        <w:t>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(arrêt 2C_762/2013 du 31 janvier 2014 consid. 5.1 i.f.).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w:t>
      </w:r>
    </w:p>
    <w:p>
      <w:r>
        <w:rPr>
          <w:b/>
        </w:rPr>
        <w:t>E. 4.2.4</w:t>
      </w:r>
    </w:p>
    <w:p>
      <w:r>
        <w:t>Il ressort de l'arrêt entrepris que le recourant n'a ni l'autorité parentale, ni le droit de garde sur son fils, ressortissant italien au bénéfice d'une autorisation d'établissement. Selon ses propres déclarations, le recourant n'a exercé son droit de visite que de manière restreinte jusqu'en 2011. Il n'a fourni aucune pièce à l'autorité précédente pour attester que, depuis 2011, son droit de visite sur son fils est exercé régulièrement. Il s'est contenté d'affirmer que cela était le cas et qu'il bénéficiait d'un droit de visite usuel. De plus, il ressort également de l'arrêt entrepris que s'il faut reconnaître au recourant une certaine implication financière envers son fils, il n'en demeure pas moins que le 24 mars 2010, la mère de ce dernier a été dans l'obligation de déposer une requête d'avis au débiteur auprès d'un tribunal civil. Les contributions d'entretien étaient en souffrance depuis le mois d'octobre 2009 et les paiements n'avaient repris qu'en février 2010, mais à concurrence d'un montant insuffisant. Le tribunal précité a ainsi invité l'employeur du recourant à prélever la contribution d'entretien directement sur le salaire de celui-ci. Il ressort finalement de l'arrêt contesté que le recourant a été condamné pour escroquerie, ayant perçu indument des prestations de l'assurance-chômage. De plus, au 20 janvier 2014, il faisait l'objet de 20 poursuites pour un montant total d'un peu moins de 21'700 fr. et de 17 actes de défaut de biens pour un montant total d'un peu moins de 35'900 fr.</w:t>
      </w:r>
    </w:p>
    <w:p>
      <w:r>
        <w:t>Sur le vu des faits arrêtés par l'autorité précédente, on doit donc constater que le recourant, suite à sa séparation et jusqu'en 2011, c'est-à-dire durant près de cinq ans, n'a pas exercé son droit de visite de manière régulière. Outre ses propres déclarations et celles de son ancienne épouse, rien ne permet de retenir qu'il le fasse actuellement. Quand bien même il faudrait retenir que sur les quatre dernières années le droit de visite s'est déroulé normalement et à un rythme usuel, on devrait encore mentionner que ce n'est qu'après y avoir été contraint par une décision judiciaire que le recourant a finalement versé à son fils la contribution d'entretien à laquelle celui-ci a droit. Un tel comportement relativise fortement l'existence d'un lien familial économique particulièrement fort. En tout état de cause, la question de l'existence de liens familiaux particulièrement forts d'un point de vue affectif et économique peut être laissée indécise, puisque contrairement à ce que le recourant semble penser, son comportement n'est pas irréprochable. En effet, durant sa présence en Suisse, il a été condamné à 400 heures de travail d'intérêt général pour escroquerie. De plus, comme l'a retenu l'autorité précédente, dans le cadre de sa deuxième demande d'asile, le recourant n'était pas disposé à quitter le territoire helvétique, si bien que les autorités cantonales en charge de l'exécution de son renvoi ont dû s'adresser au Secrétariat d'Etat pour demander du soutien. Finalement, il faut constater que la situation financière du recourant est totalement obérée et qu'elle s'est nettement dégradée entre 2012 et 2014. Une telle situation exclut de considérer le comportement du recourant comme étant irréprochable (cf. arrêts 2C_427/2015 du 29 octobre 2015 consid. 4.5; 2C_420/2015 du 1</w:t>
      </w:r>
    </w:p>
    <w:p>
      <w:r>
        <w:t>er octobre 2015 consid. 2.4). Contrairement à ce que celui-ci déclare, cette dégradation ne démontre pas sa bonne volonté à rembourser ses dettes. Au demeurant, le fait qu'il ait subit un accident et ait perçu des indemnités de l'assurance-accident et de l'assurance-chômage, comme il l'affirme, n'y change rien.</w:t>
      </w:r>
    </w:p>
    <w:p>
      <w:r>
        <w:rPr>
          <w:b/>
        </w:rPr>
        <w:t>E. 4.3</w:t>
      </w:r>
    </w:p>
    <w:p>
      <w:r>
        <w:t>S'agissant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136 II 113 consid. 3.3 p. 117).</w:t>
      </w:r>
    </w:p>
    <w:p>
      <w:r>
        <w:t>En l'occurrence, le recourant n'a pas contesté l'appréciation faite à ce sujet par le Tribunal administratif fédéral. Ce dernier a notamment relevé à juste titre que le recourant avait vécu son enfance, son adolescence et une partie de sa vie d'adulte dans son pays d'origine. En outre, il y est retourné à deux reprises depuis qu'il est en Suisse. L'autorité précédente a également constaté que le recourant ne démontrait nullement qu'il pourrait se trouver dans une situation présentant des difficultés de réadaptation insurmontables en cas de retour dans ce pays, où se trouvent encore deux de ses enfants. Elle a en particulier mentionné que le recourant avait suivi une formation en République démocratique du Congo et qu'il y avait travaillé. Il ne présente pas de problème de santé. Compte tenu de ces éléments, l'autorité précédente pouvait retenir que la réintégration du recourant dans son pays d'origine ne serait pas fortement compromise.</w:t>
      </w:r>
    </w:p>
    <w:p>
      <w:r>
        <w:rPr>
          <w:b/>
        </w:rPr>
        <w:t>E. 4.4</w:t>
      </w:r>
    </w:p>
    <w:p>
      <w:r>
        <w:t>Le recourant n'ayant durant de nombreuses années pas présenté de liens affectif et économique forts avec son fils, mais ne pouvant surtout pas se targuer d'un comportement irréprochable en Suisse, son retour en République démocratique du Congo n'étant au surplus pas gravement compromis, il ne saurait être question de violation de l'art. 50 al. 1 let. b LEtr et de l' art. 8 CEDH .</w:t>
      </w:r>
    </w:p>
    <w:p>
      <w:r>
        <w:rPr>
          <w:b/>
        </w:rPr>
        <w:t>E. 5</w:t>
      </w:r>
    </w:p>
    <w:p>
      <w:r>
        <w:t>En dernier lieu, hormis les liens du recourant avec son enfant, dont on a vu qu'ils ne justifient pas à eux seuls son séjour en Suisse, l'arrêt attaqué ne révèle aucun élément déterminant qui ferait apparaître le refus d'approuver la prolongation de l'autorisation de séjour du recourant comme disproportionné (cf. art. 96 LEtr). En tenant compte de l'âge d'arrivée en Suisse du recourant, de la durée et de la qualité de son séjour dans ce pays, du fait que son intégration professionnelle et socioculturelle en Suisse n'est pas particulièrement marquée, qu'il présente une situation financière obérée, des conséquences pour lui et son enfant d'un refus de demeurer en Suisse, de la possibilité de conserver des liens avec son fils en dépit de l'éloignement et des possibilités d'intégration à l'étranger où vivent deux de ses enfants, il faut constater que le refus d'approuver la prolongation de l'autorisation de séjour du recourant n'est pas une mesure disproportionnée.</w:t>
      </w:r>
    </w:p>
    <w:p>
      <w:r>
        <w:rPr>
          <w:b/>
        </w:rPr>
        <w:t>E. 6</w:t>
      </w:r>
    </w:p>
    <w:p>
      <w:r>
        <w:t>Les considérants qui précèdent conduisent au rejet du recours, dans la mesure où il est recevable.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