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2C_607/2018 vom 19. September 2018</w:t>
      </w:r>
    </w:p>
    <w:p>
      <w:r>
        <w:t>Bundesgericht, 2018-09-19, DE</w:t>
      </w:r>
    </w:p>
    <w:p>
      <w:r>
        <w:rPr>
          <w:b/>
        </w:rPr>
        <w:t xml:space="preserve">Quelle: </w:t>
      </w:r>
      <w:r>
        <w:t>https://mcp.opencaselaw.ch/entscheid/bger_2C_607_2018</w:t>
      </w:r>
    </w:p>
    <w:p>
      <w:r>
        <w:t>FR: TF 2C_607/2018 du 19 septembre 2018</w:t>
      </w:r>
    </w:p>
    <w:p>
      <w:r>
        <w:t>IT: TF 2C_607/2018 del 19 settembre 2018</w:t>
      </w:r>
    </w:p>
    <w:p>
      <w:pPr>
        <w:pStyle w:val="Heading2"/>
      </w:pPr>
      <w:r>
        <w:t>Erwägungen</w:t>
      </w:r>
    </w:p>
    <w:p>
      <w:r>
        <w:rPr>
          <w:b/>
        </w:rPr>
        <w:t>E. 1.1</w:t>
      </w:r>
    </w:p>
    <w:p>
      <w:r>
        <w:t>Angefochten ist ein in einem hängigen Verfahren ergangener Entscheid des Bundesverwaltungsgerichts über ein Gesuch um unentgeltliche Rechtspflege. Praxisgemäss können selbständig eröffnete Zwischenentscheide, mit denen zwecks Sicherstellung der mutmasslichen Gerichtskosten ein Kostenvorschuss verlangt wird, einen nicht wieder gutzumachenden Nachteil rechtlicher Natur im Sinne von Art. 93 Abs. 1 lit. a BGG bewirken. Die Beschwerdemöglichkeit an das Bundesgericht steht offen, wenn die Zahlungsaufforderung mit der Androhung verbunden ist, im Säumnisfall auf die Klage oder das Rechtsmittel nicht einzutreten, und die betroffene Person geltend macht, mittellos zu sein (zum Ganzen BGE 142 III 798 E. 2.3.1 S. 802; Urteil 2C_21/2018 vom 25. Januar 2018 E. 2.4). Diese Voraussetzungen sind hier erfüllt. Auf die frist- und formgerecht eingereichte Beschwerde ( Art. 42, Art. 100 Abs. 1 BGG ) der hierzu legitimierten Beschwerdeführenden ( Art. 89 Abs. 1 BGG ) ist einzutreten.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erwog in der angefochtenen Verfügung, die Erfolgsaussichten des Prozessbegehrens der Beschwerdeführenden seien beträchtlich geringer als die Gefahr eines Unterliegens, sodass das Beschwerdeverfahren als aussichtslos erscheine. Eine Prüfung der Bedürftigkeit erübrige sich daher.</w:t>
      </w:r>
    </w:p>
    <w:p>
      <w:r>
        <w:rPr>
          <w:b/>
        </w:rPr>
        <w:t>E. 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Entsprechend sieht Art. 65 VwVG vor, dass eine Partei, die nicht über die erforderlichen Mittel verfügt, auf Antrag von der Bezahlung der Verfahrenskosten befreit wird, sofern ihr Begehren nicht aussichtslos erscheint (Abs. 1), und dass ihr ein Anwalt bestellt wird, wenn es zur Wahrung ihrer Rechte notwendig ist (Abs. 2).</w:t>
      </w:r>
    </w:p>
    <w:p>
      <w:r>
        <w:t>Praxisgemäss sind Prozessbegehren als aussichtslos anzusehen, bei denen die Gewinnaussichten beträchtlich geringer sind als die Verlustgefahren und die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S. 139 f.; 138 III 217 E. 2.2.4 S. 218).</w:t>
      </w:r>
    </w:p>
    <w:p>
      <w:r>
        <w:rPr>
          <w:b/>
        </w:rPr>
        <w:t>E. 2.2</w:t>
      </w:r>
    </w:p>
    <w:p>
      <w:r>
        <w:t>Konkret erwog die Vorinstanz bezüglich der Erfolgsaussichten der Beschwerde, die Beschwerdeführenden hätten den Umstand, dass die Liegeplätze in den Unterkünften ihrer Pferde nicht eingestreut gewesen seien, nicht bestritten; damit würden keine Unklarheiten tatsächlicher Natur bestehen. Sie würden die gemäss Art. 59 Abs. 2 der Tierschutzverordnung vom 23. April 2008 (TSchV; SR 455.1) geltende Einstreupflicht in grundsätzlicher Hinsicht infrage stellen und im Wesentlichen geltend machen, bei ihrer individuellen Form der Pferdehaltung sei es nicht erforderlich, die Unterstände einzustreuen. Mit Bezug auf das Erfordernis der Einstreu bestehe indes keine Ausnahmebestimmung, und die Ansicht der Beschwerdeführenden finde, soweit prima facie ersichtlich, keine Stütze in Lehre oder Rechtsprechung. Angesichts der Erwägungen im angefochtenen Entscheid, der gesetzlichen Grundlagen und des unbestrittenen Sachverhalts würden erhebliche Zweifel an der Fehlerhaftigkeit der strittigen Direktzahlungskürzung bestehen. Die Beschwerde erscheine daher als aussichtslos.</w:t>
      </w:r>
    </w:p>
    <w:p>
      <w:r>
        <w:rPr>
          <w:b/>
        </w:rPr>
        <w:t>E. 2.3</w:t>
      </w:r>
    </w:p>
    <w:p>
      <w:r>
        <w:t>Mit diesen Erwägungen wird die Vorinstanz der erforderlichen summarischen Prüfung der Prozesschancen nur teilweise gerecht. So übersieht sie, dass die Beschwerdeführenden nicht die Einstreupflicht an sich infrage stellen, sondern argumentieren, eine solche entspreche in ihrem Fall aufgrund der Art der Pferdehaltung nicht dem Tierwohl und widerspreche somit dem Zweck des Tierschutzgesetzes, die Würde und das Wohlergehen des Tieres zu schützen (Art. 1 i.V.m. Art. 3 lit. a und b des Tierschutzgesetzes vom 16. Dezember 2005 [TschG; SR 455]). Die Beschwerdeführenden verlangen eine akzessorische Normenkontrolle von Art. 59 Abs. 2 TSchV , in der zu überprüfen sei, ob diese Bestimmung mit dem Zweck des Tierschutzgesetzes vereinbar sei oder ob sie diesem widerspreche. Sie machen geltend, wenn diese Bestimmung dem Tierwohl und der tiergerechten Haltung im konkreten Fall entgegenstehe, sollte sie nicht angewendet werden dürfen. Diese Vorbringen blieben bei der Beurteilung der Erfolgsaussichten der Beschwerde durch die Vorinstanz unbeachtet und es ist nicht ersichtlich, dass diesbezüglich eine Abwägung der Prozesschancen stattgefunden hätte. Vielmehr beschränkte sich die Vorinstanz in der angefochtenen Zwischenverfügung darauf, pauschal auf die Erwägungen im Entscheid der Volkswirtschaftsdirektion, die gesetzlichen Grundlagen und den unbestrittenen Sachverhalt zu verweisen und daraus zu schliessen, die Erfolgsaussichten seien prima facie erheblich geringer als die Gefahr eines Unterliegens. Für die Qualifizierung einer Beschwerde als aussichtslos ist jedoch erforderlich, dass die Vorbringen einer summarischen Prüfung unterzogen werden. Dies erfordert eine minimale Auseinandersetzung mit den einzelnen Argumenten der beschwerdeführenden Partei. Eine solche ist vorliegend nicht erfolgt.</w:t>
      </w:r>
    </w:p>
    <w:p>
      <w:r>
        <w:rPr>
          <w:b/>
        </w:rPr>
        <w:t>E. 2.4</w:t>
      </w:r>
    </w:p>
    <w:p>
      <w:r>
        <w:t>Die Vorbringen der Beschwerdeführenden hinsichtlich der Gefährdung des Tierwohls und der Gesetzeswidrigkeit von Art. 59 Abs. 2 TSchV scheinen nicht von vornherein aussichtslos und verdienen eine Prüfung. Insbesondere unter Berücksichtigung des Umstands, dass es sich um eine Laienbeschwerde handelt, bei welcher die Anforderungen an die rechtliche Begründung nicht übermässig hoch gestellt werden dürfen, gelangt das Bundesgericht zum Schluss, dass die Erfolgsaussichten von der Vorinstanz vorschnell und ohne hinreichende (summarische) Prüfung der Vorbringen als wesentlich geringer als die Gefahr des Unterliegens eingestuft wurden. Die vorgenommene schematische Einschätzung der Beschwerdeschrift als aussichtslos verletzt den grundrechtlichen Anspruch aus Art. 29 Abs. 3 BV sowie Art. 65 Abs. 1 VwVG .</w:t>
      </w:r>
    </w:p>
    <w:p>
      <w:r>
        <w:rPr>
          <w:b/>
        </w:rPr>
        <w:t>E. 3</w:t>
      </w:r>
    </w:p>
    <w:p>
      <w:r>
        <w:t>Aufgrund dieser Erwägungen ist die Beschwerde gutzuheissen und die Sache zur Prüfung der Bedürftigkeit der Beschwerdeführenden und gegebenenfalls der Notwendigkeit einer anwaltlichen Verbeiständung an die Vorinstanz zurückzuweisen.</w:t>
      </w:r>
    </w:p>
    <w:p>
      <w:r>
        <w:t>Bei diesem Verfahrensausgang sind keine Gerichtskosten zu erheben ( Art. 66 Abs. 1 und Abs. 4 BGG ). Das Gesuch um Gewährung der unentgeltlichen Rechtspflege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