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605/2022 vom 27. Juli 2022</w:t>
      </w:r>
    </w:p>
    <w:p>
      <w:r>
        <w:t>Bundesgericht, 2022-07-27, FR</w:t>
      </w:r>
    </w:p>
    <w:p>
      <w:r>
        <w:rPr>
          <w:b/>
        </w:rPr>
        <w:t xml:space="preserve">Quelle: </w:t>
      </w:r>
      <w:r>
        <w:t>https://mcp.opencaselaw.ch/entscheid/bger_2C_605_2022</w:t>
      </w:r>
    </w:p>
    <w:p>
      <w:r>
        <w:t>FR: TF 2C 605/2022 du 27 juillet 2022</w:t>
      </w:r>
    </w:p>
    <w:p>
      <w:r>
        <w:t>IT: TF 2C 605/2022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9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9 février 2021 et au rejet de la demande d'assistance administrative du 11 mai 2016. Par arrêt du 5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 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