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604/2022 vom 27. Juli 2022</w:t>
      </w:r>
    </w:p>
    <w:p>
      <w:r>
        <w:t>Bundesgericht, 2022-07-27, FR</w:t>
      </w:r>
    </w:p>
    <w:p>
      <w:r>
        <w:rPr>
          <w:b/>
        </w:rPr>
        <w:t xml:space="preserve">Quelle: </w:t>
      </w:r>
      <w:r>
        <w:t>https://mcp.opencaselaw.ch/entscheid/bger_2C_604_2022</w:t>
      </w:r>
    </w:p>
    <w:p>
      <w:r>
        <w:t>FR: TF 2C 604/2022 du 27 juillet 2022</w:t>
      </w:r>
    </w:p>
    <w:p>
      <w:r>
        <w:t>IT: TF 2C 604/2022 del 27 luglio 2022</w:t>
      </w:r>
    </w:p>
    <w:p>
      <w:pPr>
        <w:pStyle w:val="Heading2"/>
      </w:pPr>
      <w:r>
        <w:t>Regeste</w:t>
      </w:r>
    </w:p>
    <w:p>
      <w:r>
        <w:t>Assistance administrative (CDI CH-FR) | Entraide et extradition</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l'AFC)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B.________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en application de la Directive 2011/16/UE du 15 février 2011 relative à la coopération administrative dans le domaine fiscal. La demande d'assistance administrative concernait les années 2010 à 2014 pour l'impôt sur le revenu et les années 2010 à 2015 pour l'impôt de solidarité sur la fortune et se fondait sur des listes (liste B relative à l'année 2006 et liste C relative à l'année 2008) contenant des numéros de comptes bancaires liés à des personnes inscrites sous un code "domizil" français. Elle visait à obtenir les nom, prénom,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juin 2016 et juillet 2017. 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ainsi qu'à la Banque (dont le Tribunal administratif fédéral avait reconnu la qualité pour recourir in arrêt A-4974/2016 du 25 octobre 2016), accordé l'assistance administrative à l'autorité française. 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 A la suite de cet arrêt, l'Administration fédérale a repris le traitement des procédures qui avaient été suspendues jusqu'à droit connu sur la position du Tribunal fédéral. Le 31 août 2020, A.________ s'est opposée à toute transmission d'informations la concernant à l'autorité requérante.</w:t>
      </w:r>
    </w:p>
    <w:p>
      <w:r>
        <w:rPr>
          <w:b/>
        </w:rPr>
        <w:t>E. 1.4</w:t>
      </w:r>
    </w:p>
    <w:p>
      <w:r>
        <w:t>Par décision finale du 16 février 2021 notifiée à A.________, l'Administration fédérale a accordé l'assistance administrative à l'autorité française. A.________ a recouru contre cette décision auprès du Tribunal administratif fédéral. Elle a demandé à être au préalable autorisée à consulter le dossier et à compléter son recours. Sur le fond, elle a conclu à l'annulation de la décision finale du 16 février 2021 et au rejet de la demande d'assistance administrative du 11 mai 2016. Par arrêt du 4 juillet 2022, le Tribunal administratif fédéral a rejeté les requêtes préalables et le recours.</w:t>
      </w:r>
    </w:p>
    <w:p>
      <w:r>
        <w:rPr>
          <w:b/>
        </w:rPr>
        <w:t>E. 1.5</w:t>
      </w:r>
    </w:p>
    <w:p>
      <w:r>
        <w:t>A l'encontre de cet arrêt, A.________ forme un recours en matière de droit public au Tribunal fédéral. Elle conclut à son annulation et au rejet de la demande d'assistance administrative du 11 mai 2016. Elle demande que l'effet suspensif soit accordé au recours.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 ; arrêt 2C_54/2014 du 2 juin 2014 consid. 1.1, in StE 2014 A 31.4. Nr. 20).</w:t>
      </w:r>
    </w:p>
    <w:p>
      <w:r>
        <w:rPr>
          <w:b/>
        </w:rPr>
        <w:t>E. 2.2</w:t>
      </w:r>
    </w:p>
    <w:p>
      <w:r>
        <w:t>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 Comme le Tribunal fédéral n'a pas pour fonction de trancher des questions abstraites (cf. en matière d'assistance administrative, ATF 142 II 161 consid. 3), il faut, pour que le recours soit recevable sous l'angle de l' art. 84a LTF , que la question soulevée par la partie recourante soit déterminante pour l'issue du litige (cf. notamment arrêt 2C_435/2021 du 2 juin 2021 consid. 2.2).</w:t>
      </w:r>
    </w:p>
    <w:p>
      <w:r>
        <w:rPr>
          <w:b/>
        </w:rPr>
        <w:t>E. 3.1</w:t>
      </w:r>
    </w:p>
    <w:p>
      <w:r>
        <w:t>La recourante soutient que la présente cause soulève les trois questions juridiques de principe suivantes: "Les dispositions d'une convention internationale prévoyant que les renseignements obtenus dans le cadre de l'assistance administrative peuvent, pour autant que l'autorité compétente de l'Etat requis y consente aussi, être utilisés à des fins autres que fiscales ou transmis à un Etat tiers s'appliquent-elles aussi lorsque un Etat étranger, soumis à de telles dispositions conventionnelles, a acquis ces renseignements en dehors de toute procédure d'entraide administrative avec la Suisse, que cette acquisition ait eu lieu sans commission d'infraction (question 1) ou grâce à la commission d'infractions (question 2) ou, au contraire, cet Etat peut-il transmettre ces renseignements à un Etat tiers sans le consentement préalable de l'autorité compétente suisse ? Dans l'hypothèse d'une réponse affirmative aux questions 1 et/ou 2 ci-dessus, la Suisse peut-elle refuser d'accorder l'entraide à l'Etat tiers qui fonderait sa demande sur la base de renseignements transférés sans le consentement de la Suisse par cet Etat étranger qui les aurait lui-même obtenus préalablement sans passer par une procédure d'entraide avec la Suisse et grâce, ou non, à la commission d'une infraction (question 3) ?". La recourante ajoute que ces questions ne concernent qu'un seul et même problème d'une importance capitale sur les limites du droit qu'aurait un Etat étranger de disposer de renseignements fiscaux d'origine suisse acquis en dehors de toute procédure d'entraide.</w:t>
      </w:r>
    </w:p>
    <w:p>
      <w:r>
        <w:rPr>
          <w:b/>
        </w:rPr>
        <w:t>E. 3.2</w:t>
      </w:r>
    </w:p>
    <w:p>
      <w:r>
        <w:t>Il ne suffit pas d'imaginer des questions de manière abstraite et de les qualifier de questions juridiques de principe pour que le Tribunal fédéral doive entrer en matière. Il faut au contraire démontrer que la situation d'espèce, telle qu'elle ressort de l'arrêt attaqué, remplit les conditions de l' art. 84a LTF (supra consid. 2 in fine). Or, la recourante se limite à formuler des questions juridiques de manière abstraite, sans faire de lien avec le cas d'espèce ou avec l'arrêt attaqué. Sa motivation ne respecte donc pas les exigences de l' art. 42 al. 2 LTF . En outre, on ne voit pas avec évidence en quoi la présente cause soulèverait une question juridique de principe, étant rappelé que la présente procédure porte sur la transmission de renseignements dans un contexte qui a déjà été analysé en détail par le Tribunal fédéral ( ATF 146 II 150 ).</w:t>
      </w:r>
    </w:p>
    <w:p>
      <w:r>
        <w:rPr>
          <w:b/>
        </w:rPr>
        <w:t>E. 4</w:t>
      </w:r>
    </w:p>
    <w:p>
      <w:r>
        <w:t>Il découle de ce qui précède que le recours doit être déclaré irrecevable selon la procédure applicable en vertu des art. 107 al. 3 et 109 al. 1 LTF, étant précisé que, comme l'arrêt attaqué émane du Tribunal administratif fédéral, la voie du recours constitutionnel subsidiaire ne saurait entrer en considération (art. 113 a contrario LTF). Cette conséquence fait perdre tout objet à la demande d'effet suspensif, à supposer que la recourante ait eu un intérêt à demander son octroi, puisque l'effet suspensif est prévu à l' art. 103 al. 2 let . d LTF (arrêts 2C_232/2022 du 5 avril 2022 consid. 3; 2C_57/2022 du 24 janvier 2022 consid. 4).</w:t>
      </w:r>
    </w:p>
    <w:p>
      <w:r>
        <w:rPr>
          <w:b/>
        </w:rPr>
        <w:t>E. 5</w:t>
      </w:r>
    </w:p>
    <w:p>
      <w:r>
        <w:t>Succombant, la recourante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