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603/2015 vom 23. Juli 2015</w:t>
      </w:r>
    </w:p>
    <w:p>
      <w:r>
        <w:t>Bundesgericht, 2015-07-23, DE</w:t>
      </w:r>
    </w:p>
    <w:p>
      <w:r>
        <w:rPr>
          <w:b/>
        </w:rPr>
        <w:t xml:space="preserve">Quelle: </w:t>
      </w:r>
      <w:r>
        <w:t>https://mcp.opencaselaw.ch/entscheid/bger_2C_603_2015</w:t>
      </w:r>
    </w:p>
    <w:p>
      <w:r>
        <w:t>FR: TF 2C 603/2015 du 23 juillet 2015</w:t>
      </w:r>
    </w:p>
    <w:p>
      <w:r>
        <w:t>IT: TF 2C 603/2015 del 23 luglio 2015</w:t>
      </w:r>
    </w:p>
    <w:p>
      <w:pPr>
        <w:pStyle w:val="Heading2"/>
      </w:pPr>
      <w:r>
        <w:t>Regeste</w:t>
      </w:r>
    </w:p>
    <w:p>
      <w:r>
        <w:t>Kantonssteuern 2013; Ordnungsbusse | Öffentliche Finanzen &amp; Abgaberecht</w:t>
      </w:r>
    </w:p>
    <w:p>
      <w:pPr>
        <w:pStyle w:val="Heading2"/>
      </w:pPr>
      <w:r>
        <w:t>Erwägungen</w:t>
      </w:r>
    </w:p>
    <w:p>
      <w:r>
        <w:rPr>
          <w:b/>
        </w:rPr>
        <w:t>E. 1</w:t>
      </w:r>
    </w:p>
    <w:p>
      <w:r>
        <w:t>A.________ reichte die Steuererklärungen 2013 für die kantonalen Steuern und die direkte Bundessteuer trotz Mahnung nicht ein. Die Steuerverwaltung des Kantons Schwyz auferlegte ihm daher am 29. Oktober 2014 Ordnungsbussen von je Fr. 100.--. Der Pflichtige gelangte dagegen an das Verwaltungsgericht des Kantons Schwyz. Der Einzelrichter trat mit Entscheid vom 13. Februar 2015 auf die Beschwerde gegen die Ordnungsbussenverfügung 2013 betreffend die direkte Bundessteuer mangels Zuständigkeit nicht ein; das Verfahren zur Ordnungsbusse 2013 betreffend die kantonalen Steuern verwies er in ein neues Verfahren. Mit Urteil vom 21. Mai 2015 erklärte das Verwaltungsgericht A.________ betreffend die kantonalen Steuern 2013 der (eventual-) vorsätzlichen Verletzung einer Verfahrenspflicht im Sinne von § 201 des Steuergesetzes des Kantons Schwyz vom 9. Februar 2000 (StG) schuldig und bestrafte ihn mit einer Ordnungsbusse von Fr. 100.--. Dagegen gelangte A.________ am 10. Juli 2015 mit Beschwerde an das Bundesgericht; er beantragt, das Urteil des Verwaltungsgerichts sei aufzuheben, und stellt verschiedene weitere Anträge.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Das Verwaltungsgericht erläutert, welche Verfahrenspflichten der Beschwerdeführer im Steuerveranlagungsverfahren verletzt habe, dass er dies (eventual-) vorsätzlich getan habe und welche rechtlichen Konsequenzen sich daraus ergäben. Dazu lässt sich der dem Bundesgericht vorgelegten Rechtsschrift nichts entnehmen. Die Schilderung der Verhältnisse im Kanton Schwyz durch den Beschwerdeführer, wie er sie einschätzt, ist offensichtlich nicht geeignet aufzuzeigen, inwiefern der Bussenentscheid des Verwaltungsgerichts Recht verletzte. Im Lichte der Erwägungen des Verwaltungsgerichts ist nicht erkennbar, inwiefern dies der Fall sein könnte. Die Beschwerde erscheint denn auch aussichtslos, sodass auch die Gewährung der unentgeltlichen Rechtspflege und die Beigabe eines unentgeltlichen Rechtsanwalts zur Nachreichung einer verbesserten Beschwerdeschrift ausser Betracht fällt ( Art. 64 BGG ). Ohnehin liesse sich die Beschwerdefrist von 30 Tagen ( Art. 100 Abs. 1 BGG ) als gesetzliche Frist nicht erstrecken ( Art. 47 Abs. 1 BGG ). Auf die einer tauglichen Begründung entbehrende Beschwerde ist mit Entscheid des Einzelrichters im vereinfachten Verfahren nach Art. 108 BGG nicht einzutreten. Die Gerichtskosten ( Art. 65 BGG ) sind entgegen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