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2C_603/2012 vom 10. Dezember 2012</w:t>
      </w:r>
    </w:p>
    <w:p>
      <w:r>
        <w:t>Bundesgericht, 2012-12-10, FR</w:t>
      </w:r>
    </w:p>
    <w:p>
      <w:r>
        <w:rPr>
          <w:b/>
        </w:rPr>
        <w:t xml:space="preserve">Quelle: </w:t>
      </w:r>
      <w:r>
        <w:t>https://mcp.opencaselaw.ch/entscheid/bger_2C_603_2012</w:t>
      </w:r>
    </w:p>
    <w:p>
      <w:r>
        <w:t>FR: TF 2C_603/2012 du 10 décembre 2012</w:t>
      </w:r>
    </w:p>
    <w:p>
      <w:r>
        <w:t>IT: TF 2C_603/2012 del 10 dicembre 2012</w:t>
      </w:r>
    </w:p>
    <w:p>
      <w:pPr>
        <w:pStyle w:val="Heading2"/>
      </w:pPr>
      <w:r>
        <w:t>Erwägungen</w:t>
      </w:r>
    </w:p>
    <w:p>
      <w:r>
        <w:rPr>
          <w:b/>
        </w:rPr>
        <w:t>E. 1</w:t>
      </w:r>
    </w:p>
    <w:p>
      <w:r>
        <w:t>La Cour de justice a rendu une seule décision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à la recourante d'avoir, dans son recours au Tribunal fédéral, formé les mêmes griefs et pris des conclusions valant pour les deux catégories d'impôts (cf. ATF 135 II 260 consid. 1.3.2 p. 263 s.). Par souci d'unification par rapport à d'autres cantons dans lesquels deux décisions sont rendues, la Cour de céans a toutefois ouvert deux dossiers, l'un concernant l'IFD (2C_604/2012) et l'autre les ICC (2C_603/2012). Comme l'état de fait est identique et que les questions juridiques se recoupent, les deux causes seront néanmoins jointes et il sera statué dans un seul arrêt (cf. art. 71 LTF et 24 PCF [RS 273]).</w:t>
      </w:r>
    </w:p>
    <w:p>
      <w:r>
        <w:rPr>
          <w:b/>
        </w:rPr>
        <w:t>E. 2.1</w:t>
      </w:r>
    </w:p>
    <w:p>
      <w:r>
        <w:t>L'arrêt attaqué concerne le bénéfice imposable de la période fiscale 2006.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l'IFD. S'agissant des ICC, l'imposition du bénéfice étant une matière harmonisée aux art. 24 ss de la loi fédérale du 14 décembre 1990 sur l'harmonisation des impôts directs des cantons et des communes (LHID; RS 642.14), la voie du recours en matière de droit public est aussi réservée par l' art. 73 al. 1 LHID (cf. ATF 134 II 186 ss).</w:t>
      </w:r>
    </w:p>
    <w:p>
      <w:r>
        <w:rPr>
          <w:b/>
        </w:rPr>
        <w:t>E. 2.2</w:t>
      </w:r>
    </w:p>
    <w:p>
      <w:r>
        <w:t>Pour le reste, déposé en temps utile (cf. art. 100 al. 1 LTF ), le recours est dirigé contre une décision considérée comme finale (cf. art. 90 LTF et ATF 138 I 143 consid. 1.2 p. 148; 134 II 124 consid. 1.3 p. 127) rendue par un tribunal supérieur statuant en dernière instance cantonale (cf. art. 86 al. 1 let . d et al. 2 LTF). Il a en outre été interjeté par la contribuable destinataire de la décision attaquée et qui a un intérêt digne de protection à son annulation ou sa modification (cf. art. 89 al. 1 LTF ). Il convient donc en principe d'entrer en matière.</w:t>
      </w:r>
    </w:p>
    <w:p>
      <w:r>
        <w:rPr>
          <w:b/>
        </w:rPr>
        <w:t>E. 3.1</w:t>
      </w:r>
    </w:p>
    <w:p>
      <w:r>
        <w:t>Un accord ou un arrangement fiscal (Steuerabkommen, Steuerabmachung) est une convention entre l'autorité fiscale compétente et le contribuable, qui porte sur l'existence, l'étendue ou les modalités d'une obligation fiscale dans une situation concrète et qui s'écarte des dispositions légales (arrêt 2C_296/2009 du 11 février 2010 consid. 3.1, in RF 65/2010 p. 453, StE 2010 A 21.14 no 18 et la jurisprudence citée; Blumenstein/Locher, System des schweizerischen Steuerrechts, 6e éd., 2002, p. 320; Martin Zweifel/Hugo Casanova, Schweizerisches Steuerverfahrensrecht Direkte Steuern, 2008, § 1 no 6; Xavier Oberson, Droit fiscal suisse, 4e éd., 2012, § 25 no 33; Markus Reich, Steuerrecht, 2e éd., 2012, § 4 no 33). Il est largement admis qu'une telle convention constitue un contrat de droit administratif (Blumenstein/Locher, op. cit., p. 321; Oberson, op. cit., § 25 no 34; Reich, op. cit., § 4 no 33).</w:t>
      </w:r>
    </w:p>
    <w:p>
      <w:r>
        <w:t>Eu égard aux principes de la légalité et de l'égalité, un accord fiscal doit être autorisé par la loi ou, du moins, ne pas être expressément exclu par celle-ci. Les conventions sans base légale, voire contraires à la loi, sont nulles et ne sauraient par conséquent avoir d'effet contraignant. La jurisprudence et la doctrine ne font exception à ce principe que si la règle applicable est incertaine et que l'autorité procède selon celle que le législateur aurait adoptée s'il avait voulu réglementer le cas particulier (arrêts 2A.306/1993 du 23 juin 1994 consid. 5a, in Archives 63 p. 661, JdT 1997 II 90; 2A.227/2006 du 10 octobre 2006 consid. 3.1, in Archives 76 p. 748, RDAF 2006 II p. 419, SJ 2007 I p. 224, Pra 2007 no 30 p. 183; 2C_164/2009 du 13 août 2009 consid. 8.1, in RDAF 2009 II p. 531; Danielle Yersin, in Commentaire romand, Impôt fédéral direct, 2008, Remarques préliminaires, nos 88 s.). Lorsque l'accord est nul, il n'est pas exclu que le contribuable puisse invoquer sa bonne foi, afin d'être (néanmoins) traité conformément aux dispositions de la convention. Il faut pour cela que les conditions auxquelles le principe de la bonne foi ( art. 9 Cst. ) protège le citoyen dans la confiance légitime qu'il a mise dans les assurances reçues des autorités soient réunies (arrêts précités 2C_164/2009 consid. 8.3; 2A.227/2006 consid. 3.3; arrêt 2A.53/1998 du 12 novembre 1998 consid. 8b, in RDAF 1999 II p. 97, RF 54/1999 p. 118, Pra 1999 no 108 p. 587).</w:t>
      </w:r>
    </w:p>
    <w:p>
      <w:r>
        <w:t>Selon la jurisprudence plus ancienne, les vices - en particulier l'absence de base légale - affectant un contrat de droit administratif n'entraînaient pas sans autres considérations la nullité de la convention. Les conséquences du vice dépendaient d'une pesée d'intérêts, entre l'intérêt (public) à l'application du droit positif et l'intérêt (privé) à la protection de la bonne foi du contribuable ( ATF 103 Ia 505 consid. 4 p. 514 s.; arrêt A.454/1987 du 25 août 1988 consid. 2d, in Archives 58 p. 210, RDAF 1991 p. 12, RF 44/1989 p. 432, StE 1989 A 21.14 no 9; dans le même sens Oberson, op. cit., § 25 no 38). Pour ce qui est des conventions accordant des avantages fiscaux, il était toutefois admis que l'intérêt à l'application du droit positif l'emportait généralement ( ATF 103 Ia 505 consid. 4c p. 515 [où il ne s'agissait cependant pas d'une telle convention et où l'intérêt du contribuable à la protection de la bonne foi a été jugé prépondérant]; arrêt A.454/1987, précité, consid. 2e).</w:t>
      </w:r>
    </w:p>
    <w:p>
      <w:r>
        <w:t>En l'absence de base légale dans la LIFD, des accords ne peuvent en principe être conclus en matière d'IFD (arrêts précités 2C_296/2009 consid. 3.1; 2A.227/2006 consid. 3.1; Blumenstein/Locher, op. cit., p. 321; Yersin, op. cit., Remarques préliminaires, no 89). Pour ce qui est des ICC, les accords fiscaux sont de manière générale prohibés par le concordat intercantonal sur l'interdiction des arrangements fiscaux du 10 décembre 1948 (s'agissant du canton de Genève, cf. RS/GE D 3 60; ci-après: le concordat), auquel tous les cantons ont adhéré. Le concordat permet toutefois d'accorder certains allégements fiscaux (imposition d'après la dépense des personnes physiques, allégements en faveur d'entreprises industrielles nouvellement créées, ainsi que d'entreprises au capital desquelles une corporation de droit public participe ou qui sont affectées principalement à un but public ou d'utilité générale, cf. art. 1 al. 3 du concordat). Prévus par la législation, de tels régimes spéciaux ne constituent pas des accords fiscaux à proprement parler (Yersin, op. cit., Remarques préliminaires, no 90). Depuis l'entrée en vigueur de la LHID, le concordat a perdu une grande partie de son importance, du moment que nombre des limitations qu'il prévoit sont également réglementées par cette loi fédérale (cf. not. art. 5, 6 et 23 al. 3 LHID ) qui l'emporte sur les dispositions du droit intercantonal (Oberson, op. cit., § 3 no 67; Reich, op. cit., § 4 no 36).</w:t>
      </w:r>
    </w:p>
    <w:p>
      <w:r>
        <w:rPr>
          <w:b/>
        </w:rPr>
        <w:t>E. 3.2</w:t>
      </w:r>
    </w:p>
    <w:p>
      <w:r>
        <w:t>L'accord fiscal au sens ci-dessus doit être distingué de l'accord de procédure (Verständigung, Einigung), que l'autorité fiscale et le contribuable concluent durant la phase de la taxation, sans déroger à la loi, en vue de fixer des éléments de fait déterminants, dont l'établissement est difficile ou exigerait des mesures disproportionnées. Tel est le cas notamment lorsqu'il s'agit d'établir la valeur d'un immeuble et que la détermination ou l'estimation de celle-ci se heurte à d'importantes difficultés. Conforme au droit matériel, un accord de ce genre ne nécessite pas de base légale ( ATF 119 Ib 431 consid. 4 p. 437 s.; arrêt 2C_296/2009, précité, consid. 3.1 et 3.2 et la jurisprudence citée; Blumenstein/Locher, op. cit., p. 320; Zweifel/Casanova, op. cit., § 1 no 7; Oberson, op. cit., § 25 no 33).</w:t>
      </w:r>
    </w:p>
    <w:p>
      <w:r>
        <w:rPr>
          <w:b/>
        </w:rPr>
        <w:t>E. 4</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que celui-ci se soit fondé sur les assurances ou le comportement dont il se prévaut pour (e) prendre des dispositions auxquelles il ne saurait renoncer sans subir de préjudice, (f) que la réglementation n'ait pas changé depuis le moment où l'assurance a été donnée et que (g) l'intérêt à l'application du droit positif ne l'emporte pas sur la protection de la confiance ( ATF 137 II 182 consid. 3.6.2 p. 193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131 II 627 consid. 6.1 p. 637; 118 Ib 312 consid. 3b p. 316; Blumenstein/Locher, op. cit., p. 28). Ainsi, le contribuable ne peut bénéficier d'un traitement dérogeant à la loi que si les conditions mentionnées ci-dessus - qui doivent être interprétées de manière stricte - sont remplies de manière claire et sans équivoque (arrêt 2C_382/2007 du 23 novembre 2007 consid. 3 et la jurisprudence citée).</w:t>
      </w:r>
    </w:p>
    <w:p>
      <w:r>
        <w:t>I. Impôt fédéral direct</w:t>
      </w:r>
    </w:p>
    <w:p>
      <w:r>
        <w:rPr>
          <w:b/>
        </w:rPr>
        <w:t>E. 5.1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(let. b 5e tiret).</w:t>
      </w:r>
    </w:p>
    <w:p>
      <w:r>
        <w:t>Selon la jurisprudence,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 5.1 p. 607). Encore faut-il que les organes de la société aient pu reconnaître le caractère insolite de cette prestation ( ATF 119 Ib 431 consid. 2b p. 435; arrêt 2C_421/2009 du 11 janvier 2010 consid. 3.1 et la jurisprudence citée).</w:t>
      </w:r>
    </w:p>
    <w:p>
      <w:r>
        <w:rPr>
          <w:b/>
        </w:rPr>
        <w:t>E. 5.2</w:t>
      </w:r>
    </w:p>
    <w:p>
      <w:r>
        <w:t>Jusqu'en 2004, les sociétés de services, définies comme des "sociétés de capitaux chargées de surveiller du point de vue technique ou économique les affaires d'une entreprise", étaient soumises à un régime spécial. Dans une lettre-circulaire du 17 septembre 1997 (pub. in Archives 66 p. 300 s.), considérant que la libre formation des prix sur le marché est entravée lorsque ces sociétés fournissent leurs prestations à des entreprises auxquelles elles sont liées, l'Administration fédérale des contributions avait en effet maintenu la pratique établie par des circulaires antérieures (datant de 1959 et 1960), selon laquelle les sociétés en question "doivent être imposées au moins sur le rendement net qu'une société indépendante retirerait, dans des circonstances analogues, des mêmes prestations de services". Ces sociétés étaient dès lors imposées sur une marge bénéficiaire considérée comme un bénéfice minimal (cf. Peter Brülisauer/Flurin Poltera, in Kommentar zum Schweizerischen Steuerrecht I/2a, Bundesgesetz über die direkte Bundessteuer [DBG], 2e éd., 2008, no 105 ad art. 58 LIFD ), qui était calculée d'après la méthode dite du prix de revient majoré ("cost plus") et qui équivalait, selon la circulaire en question, à 5% du total des prix de revient ou 1/12 du total des salaires. Si la comparaison avec des tiers faisait apparaître des taux plus élevés, ces derniers étaient déterminants et devaient être appliqués.</w:t>
      </w:r>
    </w:p>
    <w:p>
      <w:r>
        <w:t>Ce régime particulier devait permettre d'estimer, en l'absence de transactions comparables entre des personnes indépendantes (les sociétés en question fournissant leurs prestations principalement à des personnes proches à l'étranger), le bénéfice qui aurait été réalisé sur un marché de pleine concurrence (Richner/Frei/Kaufmann/Meuter, Handkommentar zum DBG, 2e éd., 2009, nos 60 s. ad art. 58 LIFD ). Il était considéré comme une précision et une mesure de simplification de la loi (Yersin, op. cit., Remarques préliminaires, no 109; Robert Danon, in Commentaire romand, Impôt fédéral direct, op., cit., no 113 ad art. 57-58 LIFD ). Il a entre-temps été abandonné (sous réserve de cas exceptionnels), une nouvelle circulaire du 19 mars 2004 (pub. in Archives 72 p. 708) prévoyant, en se référant aux directives de l'OCDE en matière de prix de transfert, que la marge bénéficiaire imposable des sociétés de services doit être déterminée conformément au principe de pleine concurrence, sur la base de prestations comparables entre tiers.</w:t>
      </w:r>
    </w:p>
    <w:p>
      <w:r>
        <w:t>Une autre mesure de simplification était la pratique 50/50, applicable aux sociétés de domicile et de facturation, selon laquelle, jusqu'à concurrence de 50% du bénéfice brut de la société, la justification commerciale des charges payées à des personnes proches à l'étranger était admise sans autres preuves (cf. circulaire no 9 de l'Administration fédérale des contributions du 19 décembre 2001, pub. in Archives 70 p. 520 ss; ATF 119 Ib 431 consid. 4 p. 437; Stephan Kuhn/ Peter Brülisauer, in Kommentar zum Schweizerischen Steuerrecht I/1, Bundesgesetz über die Harmonisierung der direkten Steuern der Kantone und Gemeinden, 2e éd., 2002, no 72 ad art. 24 LHID ; Yersin, op. cit., Remarques préliminaires, no 109; Danon, op. cit., no 113 ad art. 57-58 LIFD ).</w:t>
      </w:r>
    </w:p>
    <w:p>
      <w:r>
        <w:t>Dans l'affaire publiée aux ATF 119 Ib 431 , l'Administration fédérale des contributions avait procédé à la taxation de l'impôt anticipé dû par une société en appliquant la pratique 50/50. Elle avait précisé que cette taxation était faite à bien plaire en vue d'un règlement à l'amiable et que cette proposition ne l'engageait qu'à la condition qu'elle soit acceptée par la société contribuable. Le Tribunal fédéral a considéré qu'il s'agissait là d'une offre de conclure un accord de procédure en vue d'estimer les éléments imposables, offre que la société avait déclinée en formant une opposition où elle contestait le principe même de l'imposition. Dans ces conditions, la pratique 50/50 n'était plus applicable en l'espèce (consid. 4 p. 437 s.; cf. aussi arrêt 2A.12/1994 du 7 novembre 1995 consid. 5, in Archives 65 p. 397, RDAF 1997 II p. 516; Kuhn/Brülisauer, op. cit., no 73 ad art. 24 LHID ).</w:t>
      </w:r>
    </w:p>
    <w:p>
      <w:r>
        <w:t>La Suisse a renoncé à la pratique 50/50 dans le cadre des discussions menées entre les pays membres de l'OCDE sur la concurrence fiscale dommageable (Danon, op. cit., no 113 ad art. 57-58 LIFD ). Désormais, les règles ordinaires sur la justification commerciale des charges comptabilisées sont applicables (cf. circulaire no 9 de l'Administration fédérale des contributions du 22 juin 2005, pub. in Archives 74 p. 205).</w:t>
      </w:r>
    </w:p>
    <w:p>
      <w:r>
        <w:rPr>
          <w:b/>
        </w:rPr>
        <w:t>E. 6.1</w:t>
      </w:r>
    </w:p>
    <w:p>
      <w:r>
        <w:t>La recourante fait valoir, à l'instar du Tribunal administratif de première instance, que, s'agissant des locaux abritant l'école exploitée par la fondation, l'estimation d'un loyer justifié par l'usage commercial est difficile sinon impossible en l'absence de données de comparaison sur le marché immobilier local. En se prévalant notamment de l' ATF 119 Ib 431 , elle prétend que la convention du 1er octobre 2001 constitue ainsi un accord licite sur des éléments de fait, qui tend à simplifier l'application des dispositions légales sur la détermination du bénéfice net. En niant sa validité, l'autorité précédente aurait violé le principe de la légalité.</w:t>
      </w:r>
    </w:p>
    <w:p>
      <w:r>
        <w:t>Implicitement, la recourante interprète l'accord en ce sens que le bénéfice imposable est dans tous les cas celui fixé forfaitairement (à 3% des 20% de la valeur comptable des immeubles), alors que l'Administration fiscale cantonale (dans sa détermination sur le recours devant le Tribunal de céans, comme déjà dans son courrier à la recourante du 29 février 2008) considère que le bénéfice fixé forfaitairement représente un bénéfice imposable minimal, le résultat comptable effectif devant être imposé s'il est supérieur.</w:t>
      </w:r>
    </w:p>
    <w:p>
      <w:r>
        <w:rPr>
          <w:b/>
        </w:rPr>
        <w:t>E. 6.2</w:t>
      </w:r>
    </w:p>
    <w:p>
      <w:r>
        <w:t>Le contenu de l'accord du 1er octobre 2001 présente des similitudes avec la pratique qui consistait à déterminer le bénéfice imposable des sociétés de services sur la base d'un pourcentage du total des prix de revient ou des salaires: comme elle, il paraît s'expliquer par l'absence de données de comparaison permettant de s'assurer de la justification commerciale des transactions avec des personnes proches; il prévoit un mode de calcul forfaitaire du bénéfice imposable, censé correspondre à celui qui serait réalisé entre des personnes indépendantes; ce mode de calcul doit être adapté lorsque des données de comparaison, devenues disponibles, indiquent que le bénéfice forfaitaire n'équivaut pas à celui qui serait obtenu dans des conditions de pleine concurrence (cf. la phrase "[d]ans le cas où cette solution ferait apparaître dans l'avenir une différence trop importante avec le bénéfice qui résulterait de l'obligation pour la Fondation Y.________ de prendre à bail des locaux analogues auprès d'un tiers, votre cliente reprendrait contact avec les administrations fiscales compétentes [...]" dans le courrier du 1er octobre 2001).</w:t>
      </w:r>
    </w:p>
    <w:p>
      <w:r>
        <w:t>En l'occurrence, il ne s'agit toutefois pas d'une pratique applicable à toute une catégorie de contribuables - le cas échéant moyennant l'accord de l'intéressé en procédure de taxation (cf. ATF 119 Ib 431 et consid. 5.2 ci-dessus) -, mais d'un arrangement réglant les obligations fiscales d'un contribuable particulier (qui n'a d'ailleurs pas été conclu dans le cadre d'une procédure de taxation). La conclusion d'un tel accord pose donc problème sous l'angle du principe d'égalité. En outre, l'arrangement en question n'est conciliable avec les art. 57 et 58 al. 1 let. b LIFD que s'il est interprété - comme le préconise l'Administration fiscale cantonale - en ce sens que le bénéfice fixé forfaitairement (à 3% des 20% de la valeur comptable des immeubles) représente un bénéfice imposable minimal, le résultat comptable effectif devant être imposé s'il est supérieur. Quoi qu'il en soit de son interprétation, au plan de l'IFD, l'accord en question ne saurait produire d'effets déjà pour le motif qu'il n'a pas été conclu par l'autorité compétente en la matière, à savoir l'Administration fédérale des contributions et que rien n'indique non plus que celle-ci ait "ratifié" la convention par la suite (cf. Yersin, op. cit., no 3 ad art. 2 LIFD , selon qui, pour toutes les opérations et décisions en matière d'IFD qui touchent la situation juridique des contribuables, les cantons n'ont pas de réelle marge de manoeuvre, sauf dispositions légales ou réglementaires contraires).</w:t>
      </w:r>
    </w:p>
    <w:p>
      <w:r>
        <w:rPr>
          <w:b/>
        </w:rPr>
        <w:t>E. 6.3</w:t>
      </w:r>
    </w:p>
    <w:p>
      <w:r>
        <w:t>La recourante invoque la protection de la bonne foi garantie par l' art. 9 Cst. , en faisant valoir qu'en cas d'invalidité de la convention, cette disposition lui permet d'être (néanmoins) traitée conformément à celle-ci.</w:t>
      </w:r>
    </w:p>
    <w:p>
      <w:r>
        <w:t>Indépendamment de la question de l'interprétation de l'accord, les conditions posées à la mise en oeuvre de l' art. 9 Cst. (cf. consid. 4 ci-dessus) ne sont pas réunies, même s'il est vrai que la recourante a bénéficié de plusieurs régimes spéciaux successifs sur une longue période, ce qui était de nature à renforcer l'apparence de validité de l'arrangement. En effet, la recourante, qui était représentée par un mandataire professionnel, ne pouvait de bonne foi considérer que l'Administration fiscale cantonale était compétente pour conclure un accord en matière d'IFD (cf. arrêt 2A.53/1998, précité, consid. 8c). Surtout, on ne voit pas quelles dispositions la recourante aurait prises au vu de l'accord en question, sur lesquelles elle ne saurait revenir sans subir de préjudice. Celle-ci fait tout au plus valoir qu'elle a "calculé des intérêts théoriques de 4.75% conformément à la méthode de calcul retenue dans son statut". Or, cet argument est inopérant déjà pour le motif que le taux en question n'est pas prévu par l'accord du 1er octobre 2001, mais par la convention du 30 août 1990.</w:t>
      </w:r>
    </w:p>
    <w:p>
      <w:r>
        <w:t>Ainsi, la recourante ne peut valablement invoquer l' art. 9 Cst. aux fins d'être traitée conformément à l'accord.</w:t>
      </w:r>
    </w:p>
    <w:p>
      <w:r>
        <w:rPr>
          <w:b/>
        </w:rPr>
        <w:t>E. 7</w:t>
      </w:r>
    </w:p>
    <w:p>
      <w:r>
        <w:t>L'autorité précédente a confirmé la reprise de 163'689 fr. - montant ressortant de l'arrêt du Tribunal administratif de première instance du 14 juin 2011 -, somme qui venait s'ajouter au bénéfice net comptable de 74'873 fr.</w:t>
      </w:r>
    </w:p>
    <w:p>
      <w:r>
        <w:t>Le Tribunal administratif de première instance a en effet estimé que le taux d'intérêt de 4,75% sur la dette de la recourante à l'égard de la fondation - comme entité proche - n'était pas conforme au marché. Il a retenu un taux admissible de 2,875% représentant la moyenne de 3% (= taux maximal applicable à un crédit immobilier égal à la première hypothèque, soit jusqu'à concurrence des 2/3 de la valeur vénale de l'immeuble, dans la branche de la construction de logements, selon la lettre-circulaire de l'Administration fédérale des contributions du 26 janvier 2005, intitulée "Taux d'intérêt 2005 déterminants pour le calcul des prestations appréciables en argent") et de 2,75% (= taux correspondant selon la lettre-circulaire du 26 janvier 2006 valant pour l'année 2006), compte tenu du fait que l'exercice commercial en cause, allant du 1er juillet 2005 au 30 juin 2006, est à cheval sur les deux années civiles. La différence entre ce taux moyen et celui de 4,75% appliqué par la recourante donne, en relation avec le montant de la dette de 8'730'101 fr., la somme de 163'689 fr.</w:t>
      </w:r>
    </w:p>
    <w:p>
      <w:r>
        <w:t>On ne voit pas en quoi cette façon de procéder serait contraire aux règles du droit fédéral sur les prestations appréciables en argent. La recourante, à qui il incombe d'établir que la prestation constitue une charge justifiée par l'usage commercial - et non une distribution dissimulée de bénéfice - (cf. arrêt 2C_386/2012 du 16 novembre 2012 consid. 5 et la jurisprudence citée), n'évoque d'ailleurs pas une telle violation. Dans ces conditions, rien ne s'oppose à ce que la décision attaquée soit confirmée pour ce qui est de l'IFD.</w:t>
      </w:r>
    </w:p>
    <w:p>
      <w:r>
        <w:t>II. Impôts cantonal et communal</w:t>
      </w:r>
    </w:p>
    <w:p>
      <w:r>
        <w:rPr>
          <w:b/>
        </w:rPr>
        <w:t>E. 8</w:t>
      </w:r>
    </w:p>
    <w:p>
      <w:r>
        <w:t>Les art. 11 et 12 let. a de la loi genevoise du 23 septembre 1994 sur l'imposition des personnes morales (LIPM; RS/GE D 3 15) correspondent à l' art. 24 al. 1 LHID et aux art. 57 et 58 al. 1 let. a LIFD . Selon l' art. 24 al. 1 let. a LHID , le bénéfice net imposable comprend les charges non justifiées par l'usage commercial, portées au débit du compte de résultats. Au nombre de celles-ci figurent les distributions dissimulées de bénéfice (cf. aussi art. 12 let . h LIPM). De manière générale, les pratiques cantonales relatives à cette dernière notion correspondent largement à la jurisprudence fédérale (Kuhn/ Brülisauer, op. cit., no 76 ad art. 24 LHID ). Tel est le cas en l'espèce, où l'autorité précédente s'est référée à la jurisprudence du Tribunal de céans.</w:t>
      </w:r>
    </w:p>
    <w:p>
      <w:r>
        <w:t>L'accord du 1er octobre 2001 n'est conciliable avec les dispositions précitées que s'il est interprété en ce sens que le bénéfice fixé forfaitairement représente un minimum imposable, le solde du compte de résultats devant être imposé s'il est supérieur. Si l'on suit au contraire l'interprétation préconisée par la recourante, selon laquelle le bénéfice imposable est dans tous les cas celui fixé forfaitairement, la convention déroge à ces dispositions et nécessite ainsi une base légale. L'exigence de base légale vaut d'ailleurs, quelle que soit l'interprétation faite de la convention, au regard du principe d'égalité (cf. consid. 6.2 ci-dessus). La conclusion d'un tel accord n'étant pas autorisée par la LHID, celui-ci est privé d'effets également en matière d'ICC. Par ailleurs, la recourante ne peut, pas plus que pour l'IFD, se prévaloir de l' art. 9 Cst. afin d'obtenir d'être tout de même traitée conformément à la convention.</w:t>
      </w:r>
    </w:p>
    <w:p>
      <w:r>
        <w:t>Quant à la détermination par l'autorité précédente du bénéfice imposable de la recourante, compte tenu d'une reprise de 163'689 fr., il n'apparaît pas qu'elle serait contraire à la LHID. La recourante, à nouveau, ne fait rien valoir de tel. La décision entreprise peut ainsi être confirmée aussi en ce qui concerne les ICC.</w:t>
      </w:r>
    </w:p>
    <w:p>
      <w:r>
        <w:rPr>
          <w:b/>
        </w:rPr>
        <w:t>E. 9</w:t>
      </w:r>
    </w:p>
    <w:p>
      <w:r>
        <w:t>Vu ce qui précède, le recours doit être rejeté tant s'agissant de l'IFD que des ICC.</w:t>
      </w:r>
    </w:p>
    <w:p>
      <w:r>
        <w:t>Succombant, la recourante doit supporter un émolument judiciaire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