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2C_603/2008 vom 11. Februar 2009</w:t>
      </w:r>
    </w:p>
    <w:p>
      <w:r>
        <w:t>Bundesgericht, 2009-02-11, DE</w:t>
      </w:r>
    </w:p>
    <w:p>
      <w:r>
        <w:rPr>
          <w:b/>
        </w:rPr>
        <w:t xml:space="preserve">Quelle: </w:t>
      </w:r>
      <w:r>
        <w:t>https://mcp.opencaselaw.ch/entscheid/bger_2C_603_2008</w:t>
      </w:r>
    </w:p>
    <w:p>
      <w:r>
        <w:t>FR: TF 2C_603/2008 du 11 février 2009</w:t>
      </w:r>
    </w:p>
    <w:p>
      <w:r>
        <w:t>IT: TF 2C_603/2008 del 11 febbraio 2009</w:t>
      </w:r>
    </w:p>
    <w:p>
      <w:pPr>
        <w:pStyle w:val="Heading2"/>
      </w:pPr>
      <w:r>
        <w:t>Erwägungen</w:t>
      </w:r>
    </w:p>
    <w:p>
      <w:r>
        <w:rPr>
          <w:b/>
        </w:rPr>
        <w:t>E. 1.1</w:t>
      </w:r>
    </w:p>
    <w:p>
      <w:r>
        <w:t>Die beiden erhobenen Beschwerden betreffen das gleiche vor dem Bundesverwaltungsgericht geführte Rechtsmittelverfahren. Es rechtfertigt sich, sie zu vereinigen und im gleichen Urteil darüber zu befinden.</w:t>
      </w:r>
    </w:p>
    <w:p>
      <w:r>
        <w:rPr>
          <w:b/>
        </w:rPr>
        <w:t>E. 1.2</w:t>
      </w:r>
    </w:p>
    <w:p>
      <w:r>
        <w:t>Die normalerweise fehlende Zuständigkeit des Bundesgerichts auf dem Gebiet der Einreise ( Art. 83 lit. c Ziff. 1 BGG ) ergibt sich im vorliegenden Fall aus Art. 11 Abs. 3 des Abkommens vom 21. Juni 1999 zwischen der Schweizerischen Eidgenossenschaft einerseits und der Europäischen Gemeinschaft und ihren Mitgliedstaaten andererseits über die Freizügigkeit (Freizügigkeitsabkommen, FZA; SR 0.142.112.681).</w:t>
      </w:r>
    </w:p>
    <w:p>
      <w:r>
        <w:rPr>
          <w:b/>
        </w:rPr>
        <w:t>E. 2.1</w:t>
      </w:r>
    </w:p>
    <w:p>
      <w:r>
        <w:t>Der Beschwerdeführer erhob gegen die vom Bundesamt für Migration am 24. Oktober 2007 verhängte Einreisesperre am 13. November 2007 und damit rechtzeitig Beschwerde. Die an das Bundesamt für Migration gerichtete Beschwerde wurde von diesem an das Bundesverwaltungsgericht weitergeleitet.</w:t>
      </w:r>
    </w:p>
    <w:p>
      <w:r>
        <w:rPr>
          <w:b/>
        </w:rPr>
        <w:t>E. 2.2</w:t>
      </w:r>
    </w:p>
    <w:p>
      <w:r>
        <w:t>Das Bundesverwaltungsgericht forderte den Beschwerdeführer mit Schreiben vom 4. Dezember 2007 auf, innert 14 Tagen nach Erhalt des Schreibens ein schweizerisches Zustellungsdomizil zu bezeichnen. Das Schreiben wurde am 15. Dezember 2007 von der Ehegattin des Beschwerdeführers in Lörrach entgegengenommen. Da der Beschwerdeführer der Aufforderung nicht nachkam, wurde er mit Zwischenverfügung vom 21. Januar 2008 erneut zur Bezeichnung eines Zustelldomizils innert 20 Tagen nach Erhalt der Verfügung aufgefordert, ansonsten ihn betreffende Anordnungen und Entscheide durch Publikation im Bundesblatt eröffnet würden. Die Zwischenverfügung wurde auf dem Rechtshilfeweg befördert und dem Beschwerdeführer am 18. März 2008 übergeben.</w:t>
      </w:r>
    </w:p>
    <w:p>
      <w:r>
        <w:rPr>
          <w:b/>
        </w:rPr>
        <w:t>E. 2.3</w:t>
      </w:r>
    </w:p>
    <w:p>
      <w:r>
        <w:t>Am 21. Januar 2008 beantragte der Beschwerdeführer beim Bundesamt für Migration die Wiederherstellung der aufschiebenden Wirkung seiner Beschwerde gegen die Einreisesperre; zugleich ersuchte er um unentgeltliche Rechtspflege. Diese Eingabe wurde nicht an das Bundesverwaltungsgericht weitergeleitet.</w:t>
      </w:r>
    </w:p>
    <w:p>
      <w:r>
        <w:rPr>
          <w:b/>
        </w:rPr>
        <w:t>E. 2.4</w:t>
      </w:r>
    </w:p>
    <w:p>
      <w:r>
        <w:t>Mit Zwischenverfügung vom 28. April 2008, publiziert am 14. Mai 2008 im Bundesblatt, forderte das Bundesverwaltungsgericht den Beschwerdeführer auf, einen Kostenvorschuss von Fr. 600.-- zu leisten. Mangels Leistung eines Kostenvorschusses trat es mit Urteil vom 4. Juli 2008, publiziert am 15. Juli 2008, auf die Beschwerde gegen die Einreisesperre nicht ein.</w:t>
      </w:r>
    </w:p>
    <w:p>
      <w:r>
        <w:rPr>
          <w:b/>
        </w:rPr>
        <w:t>E. 3.1</w:t>
      </w:r>
    </w:p>
    <w:p>
      <w:r>
        <w:t>In seinen Beschwerden vom 13. und 22. August 2008 gegen die Kostenvorschussverfügung und den Nichteintretensentscheid weist der Beschwerdeführer darauf hin, dass er am 21. Januar 2008 ein Gesuch um unentgeltliche Rechtspflege gestellt habe, das unbearbeitet geblieben sei. Dadurch sei ihm die "Rechtshilfe verwehrt" worden. Aus diesen - unbeholfenen - Eingaben des Beschwerdeführers ist ersichtlich, dass er sich beim Bundesgericht gegen die beiden Verfügungen beschwert ("lege ich Beschwerde ein") und sinngemäss Rechtsverweigerung wegen Nichtbehandlung des Gesuches um Gewährung der unentgeltlichen Rechtspflege (im Zusammenhang mit der ergangenen Kostenvorschussverfügung und dem Nichteintretensentscheid wegen Nichtbezahlens des Kostenvorschusses) rügt.</w:t>
      </w:r>
    </w:p>
    <w:p>
      <w:r>
        <w:rPr>
          <w:b/>
        </w:rPr>
        <w:t>E. 3.2</w:t>
      </w:r>
    </w:p>
    <w:p>
      <w:r>
        <w:t>Gemäss Art. 8 Abs. 1 VwVG hat die (Bundes-)Behörde, die sich als unzuständig erachtet, eine Eingabe ohne Verzug der zuständigen Behörde zu überweisen. Nach Art. 21 Abs. 2 VwVG (i.V.m. Art. 37 VGG ) gilt eine Frist selbst dann als gewahrt, wenn eine Partei rechtzeitig an die unzuständige Behörde gelangt.</w:t>
      </w:r>
    </w:p>
    <w:p>
      <w:r>
        <w:t>Das Bundesamt für Migration hätte demnach das Gesuch um Gewährung der unentgeltlichen Rechtspflege (und dasjenige um Wiederherstellung der aufschiebenden Wirkung), das in erkennbarem Zusammenhang mit dem zuvor von ihm geführten Verfahren stand, wie schon die Beschwerde unverzüglich an die zuständige Instanz weiterleiten sollen (vgl. dazu MICHEL DAUM, in: Christoph Auer und andere, Kommentar zum Bundesgesetz über das Verwaltungsverfahren, 2008, N 5-7 zu Art. 8 VwVG ; URS PETER CAVELTI, daselbst, N 14 ff. zu Art. 21 VwVG ). Der Hinweis des Bundesverwaltungsgerichts, die Akten des Bundesamtes für Migration würden elektronisch geführt, ändert nichts an der Weiterleitungspflicht und überzeugt umso weniger, als das Bundesamt für Migration vorher und nachher im gleichen Verfahren in der Lage war, Eingaben an die richtige Instanz, d.h. das Bundesverwaltungsgericht, zu senden.</w:t>
      </w:r>
    </w:p>
    <w:p>
      <w:r>
        <w:rPr>
          <w:b/>
        </w:rPr>
        <w:t>E. 3.3</w:t>
      </w:r>
    </w:p>
    <w:p>
      <w:r>
        <w:t>Ist somit davon auszugehen, dass das Gesuch um Gewährung der unentgeltlichen Rechtspflege bei richtigem Vorgehen als dem Bundesverwaltungsgericht zugegangen und bekannt gelten muss, erweisen sich die angefochtenen Entscheide als rechtswidrig, auch wenn dem Bundesverwaltungsgericht kein Vorwurf zu machen ist.</w:t>
      </w:r>
    </w:p>
    <w:p>
      <w:r>
        <w:rPr>
          <w:b/>
        </w:rPr>
        <w:t>E. 4</w:t>
      </w:r>
    </w:p>
    <w:p>
      <w:r>
        <w:t>Die Beschwerden sind aus diesen Gründen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