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602/2020 vom 19. November 2020</w:t>
      </w:r>
    </w:p>
    <w:p>
      <w:r>
        <w:t>Bundesgericht, 2020-11-19, DE</w:t>
      </w:r>
    </w:p>
    <w:p>
      <w:r>
        <w:rPr>
          <w:b/>
        </w:rPr>
        <w:t xml:space="preserve">Quelle: </w:t>
      </w:r>
      <w:r>
        <w:t>https://mcp.opencaselaw.ch/entscheid/bger_2C_602_2020</w:t>
      </w:r>
    </w:p>
    <w:p>
      <w:r>
        <w:t>FR: TF 2C 602/2020 du 19 novembre 2020</w:t>
      </w:r>
    </w:p>
    <w:p>
      <w:r>
        <w:t>IT: TF 2C 602/2020 del 19 novembre 2020</w:t>
      </w:r>
    </w:p>
    <w:p>
      <w:pPr>
        <w:pStyle w:val="Heading2"/>
      </w:pPr>
      <w:r>
        <w:t>Regeste</w:t>
      </w:r>
    </w:p>
    <w:p>
      <w:r>
        <w:t>Erlöschen, Widerruf der Niederlassungsbewilligung | Bürgerrecht und Ausländerrecht</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S. 279; 141 II 113 E. 1 S. 116).</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auf die Weitergeltung der Niederlassungsbewilligung grundsätzlich ein Anspruch besteht ( Art. 83 lit. c Ziff. 2 BGG ; vgl. Urteile 2C_826/2018 vom 30. Januar 2019 E. 1; 2C_702/2016 vom 30. Januar 2017 E. 1.1). Ob die Voraussetzungen für die Weitergeltung der Niederlassungsbewilligung vorliegen, ist indes nicht Gegenstand der Eintretensfrage, sondern der materiellen Beurteilung (vgl. BGE 139 I 330 E. 1.1 S. 332; 136 II 177 E. 1.1 S. 179).</w:t>
      </w:r>
    </w:p>
    <w:p>
      <w:r>
        <w:rPr>
          <w:b/>
        </w:rPr>
        <w:t>E. 1.2</w:t>
      </w:r>
    </w:p>
    <w:p>
      <w:r>
        <w:t>Soweit die Beschwerdeführerin beantragt, es sei festzustellen, dass sie als in der Schweiz niedergelassene Ausländerin gelte, handelt es sich um ein Feststellungsbegehren. Feststellungsbegehren sind im bundesgerichtlichen Verfahren zulässig, sofern an der Feststellung ein schutzwürdiges Interesse besteht und dieses nicht ebenso gut mit einem Leistungsbegehren gewahrt werden kann (vgl. BGE 126 II 300 E. 2c S. 303; Urteil 2C_131/2019 vom 27. August 2019 E. 1.1). Diese Voraussetzungen sind vorliegend nicht erfüllt, da im Rahmen eines Leistungsbegehrens darüber befunden werden kann, ob die Beschwerdeführerin Anspruch auf eine Niederlassungsbewilligung hat, diese nicht erloschen ist oder sie (eventualiter) nicht widerrufen hätte werden dürfen. Ein solches Leistungsbegehren stellt die Beschwerdeführerin denn auch mit ihrem Aufhebungsantrag, mit dem der sie belastende Entscheid dahinfallen würde. Auf das Feststellungsbegehren ist demzufolge nicht einzutreten.</w:t>
      </w:r>
    </w:p>
    <w:p>
      <w:r>
        <w:rPr>
          <w:b/>
        </w:rPr>
        <w:t>E. 1.3</w:t>
      </w:r>
    </w:p>
    <w:p>
      <w:r>
        <w:t>Die Beschwerdeführerin ist bereits im kantonalen Verfahren als Partei beteiligt gewesen und dort mit ihren Anträgen nicht durchgedrungen. Ausserdem ist sie durch das angefochtene Urteil in ihren schutzwürdigen Interessen besonders berührt. Sie ist somit zur Erhebung des Rechtsmittels legitimiert ( Art. 89 Abs. 1 BGG ). Auf die Beschwerde in öffentlich-rechtlichen Angelegenheiten ist im Übrigen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Seinem Urteil legt es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w:t>
      </w:r>
    </w:p>
    <w:p>
      <w:r>
        <w:rPr>
          <w:b/>
        </w:rPr>
        <w:t>E. 3</w:t>
      </w:r>
    </w:p>
    <w:p>
      <w:r>
        <w:t>Die Beschwerdeführerin rügt eine offensichtlich unrichtige Feststellung des Sachverhalts durch die Vorinstanz.</w:t>
      </w:r>
    </w:p>
    <w:p>
      <w:r>
        <w:rPr>
          <w:b/>
        </w:rPr>
        <w:t>E. 3.1</w:t>
      </w:r>
    </w:p>
    <w:p>
      <w:r>
        <w:t>Sie macht geltend, es sei unbestritten, dass sie seit Erhalt der Niederlassungsbewilligung zu keinem Zeitpunkt mehr als sechs Monate ununterbrochen im Ausland verbracht habe. Es sei deshalb falsch, wenn die Vorinstanz im angefochtenen Urteil ausführe, die Beschwerdeführerin habe in den Jahren 2014 und 2017 deutlich mehr Zeit in der Türkei als in der Schweiz verbracht. Sie sei zwischen den Jahren 2013 und 2018 1'003 Tage in der Türkei gewesen und habe somit 1'187 Tage in der Schweiz verbracht. Wenn die Vorinstanz behaupte, dass sie mehr Zeit in der Türkei als in der Schweiz verbracht habe, sei dies offensichtlich unrichtig.</w:t>
      </w:r>
    </w:p>
    <w:p>
      <w:r>
        <w:rPr>
          <w:b/>
        </w:rPr>
        <w:t>E. 3.2</w:t>
      </w:r>
    </w:p>
    <w:p>
      <w:r>
        <w:t>Die vorinstanzlich festgestellte Anzahl der von der Beschwerdeführerin in den Jahren 2013 bis 2019 in der Türkei jährlich verbrachten Tage wird von ihr nicht bestritten. Demnach ist auf die vorinstanzlich ermittelten Anzahl Tage abzustellen, in denen sie in der Türkei weilte (vgl. Ziff. A hiervor). Die vorinstanzliche Erwägung, die Beschwerdeführerin habe in den Jahren 2014 und 2017 deutlich mehr Zeit in der Türkei als in der Schweiz verbracht, beschränkt sich ausserdem bloss auf diese beiden Jahre (vgl. E. 4.2 des angefochtenen Urteils). Angesichts der 182.5 Tage eines halben Jahres ist die vorinstanzliche Feststellung, wonach sich die Beschwerdeführerin mit 216 Tagen im Jahr 2014 und mit 227 Tagen im Jahr 2017 deutlich länger in der Türkei als in der Schweiz aufgehalten habe, jedenfalls nicht offensichtlich unrichtig. Darüber hinaus macht die Vorinstanz keine Aussage zu den insgesamt in den Jahren 2013 bis 2018 in der Schweiz und der Türkei verbrachten Tage. Eine offensichtlich unrichtige Sachverhaltsfeststellung ist nicht zu erkennen.</w:t>
      </w:r>
    </w:p>
    <w:p>
      <w:r>
        <w:rPr>
          <w:b/>
        </w:rPr>
        <w:t>E. 3.3</w:t>
      </w:r>
    </w:p>
    <w:p>
      <w:r>
        <w:t>Zusammenfassend ergibt sich, dass im bundesgerichtlichen Verfahren keine Veranlassung besteht, von den Sachverhaltsfeststellungen der Vorinstanz - insbesondere von der ermittelten jährlichen Anzahl Aufenthaltstage in der Türkei - abzuweichen.</w:t>
      </w:r>
    </w:p>
    <w:p>
      <w:r>
        <w:rPr>
          <w:b/>
        </w:rPr>
        <w:t>E. 4</w:t>
      </w:r>
    </w:p>
    <w:p>
      <w:r>
        <w:t>Die Beschwerdeführerin rügt eine Verletzung von Art. 61 Abs. 2 des Bundesgesetzes vom 16. Dezember 2005 über die Ausländerinnen und Ausländer und über die Integration (Ausländer- und Integrationsgesetz, AIG; SR 142.20; bis 31. Dezember 2018: Bundesgesetz über die Ausländerinnen und Ausländer [Ausländergesetz, AuG]) in Verbindung mit Art. 79 Abs. 1 der Verordnung vom 24. Oktober 2007 über Zulassung, Aufenthalt und Erwerbstätigkeit (VZAE; SR 142.201).</w:t>
      </w:r>
    </w:p>
    <w:p>
      <w:r>
        <w:rPr>
          <w:b/>
        </w:rPr>
        <w:t>E. 4.1</w:t>
      </w:r>
    </w:p>
    <w:p>
      <w:r>
        <w:t>Sie beanstandet im Wesentlichen, die Vorinstanz gehe zu Unrecht davon aus, dass sie den Lebensmittelpunkt in die Türkei verlegt habe. Es liege kein Erlöschensgrund im Sinne von Art. 61 Abs. 2 AIG in Verbindung mit Art. 79 Abs. 1 VZAE vor. Sie habe sich keineswegs nur zu Besuchszwecken in der Schweiz aufgehalten. Dies ergebe sich allein schon aus dem Umstand, dass sie sich über den ganzen Zeitraum der Jahre 2013 bis 2018 mehrheitlich in der Schweiz aufgehalten habe (vgl. E. 3.1 hiervor). Nach dem üblichen Verständnis bezeichne ein Besuch eine relative kurze Periode. Ausserdem sei sie hälftige Miteigentümerin einer Liegenschaft in der Schweiz und pflege eine enge Beziehung zu ihren vier in der Schweiz lebenden erwachsenen Kindern und Enkelkindern.</w:t>
      </w:r>
    </w:p>
    <w:p>
      <w:r>
        <w:rPr>
          <w:b/>
        </w:rPr>
        <w:t>E. 4.2</w:t>
      </w:r>
    </w:p>
    <w:p>
      <w:r>
        <w:t>Verlässt eine niederlassungsberechtigte Person die Schweiz, ohne sich abzumelden, erlischt die Niederlassungsbewilligung gemäss Art. 61 Abs. 2 Satz 1 AIG nach sechs Monaten. Auf Gesuch hin kann diese während vier Jahren aufrechterhalten werden (vgl. Art. 61 Abs. 2 Satz 2 AIG ). Diese Norm hat im Rahmen der Umbenennung des Ausländergesetzes am 1. Januar 2019 in das Ausländer- und Integrationsgesetz keine Änderung widerfahren (vgl. Art. 61 Abs. 2 AuG), weshalb vorliegend die neue Bezeichnung verwendet werden kann.</w:t>
      </w:r>
    </w:p>
    <w:p>
      <w:r>
        <w:rPr>
          <w:b/>
        </w:rPr>
        <w:t>E. 4.2.1</w:t>
      </w:r>
    </w:p>
    <w:p>
      <w:r>
        <w:t>Dauert der tatsächliche Aufenthalt im Ausland länger als sechs Monate, erlischt die Niederlassungsbewilligung folglich von Gesetzes wegen und im Grundsatz unabhängig von den Ursachen, Motiven oder Absichten der betroffenen Person im Zusammenhang mit ihrer Landesabwesenheit. Folglich genügt für das Erlöschen der Niederlassungsbewilligung in der Regel der blosse Umstand, dass sich die ausländische Person während sechs aufeinanderfolgenden Monaten fortwährend im Ausland aufhält (vgl. BGE 145 II 322 E. 2.2 f. S. 325 f.; 120 Ib 369 E. 2c S. 372; Urteile 2C_209/2020 vom 20. August 2020 E. 4.3; 2C_691/2017 vom 18. Januar 2018 E. 3.1).</w:t>
      </w:r>
    </w:p>
    <w:p>
      <w:r>
        <w:rPr>
          <w:b/>
        </w:rPr>
        <w:t>E. 4.2.2</w:t>
      </w:r>
    </w:p>
    <w:p>
      <w:r>
        <w:t>Eine gesamthaft sechs Monate dauernde Abwesenheit mit Unterbrüchen genügt für das Erlöschen der Niederlassungsbewilligung grundsätzlich nicht. Die sechsmonatige Frist wird indes nicht durch bloss vorübergehende Besuchs-, Tourismus- oder Geschäftsaufenthalte in der Schweiz unterbrochen (vgl. Art. 79 Abs. 1 VZAE ). Somit kann die Niederlassungsbewilligung auch dann erlöschen, wenn die ausländische Person während eines längeren Zeitraums landesabwesend ist, jeweils vor Ablauf von sechs Monaten für beschränkte Zeit in die Schweiz zurückkehrt, dies aber bloss zu Besuchszwecken tut, und damit einzig beabsichtigt, den Fristenlauf im Sinne von Art. 61 Abs. 2 AIG zu unterbrechen. Dies kann selbst dann zutreffen, wenn die ausländische Person in der Schweiz noch eine Wohnung zwecks Aufrechterhaltung des Anscheins einer minimalen physischen Präsenz zur Verfügung hat. Bei solchen Verhältnissen werden daher nicht etwa die (verschiedenen) Aus- und Einreisezeitpunkte, sondern vielmehr die Frage nach dem Lebensmittelpunkt zum ausschlaggebenden Kriterium (vgl. BGE 145 II 322 E. 3 S. 327; 120 Ib 369 E. 2c S. 372; Urteile 2C_424/2020 vom 18. August 2020 E. 3.3 und E. 5.2 f.; 2C_220/2019 vom 11. Februar 2020 E. 4.2 und E. 6.2).</w:t>
      </w:r>
    </w:p>
    <w:p>
      <w:r>
        <w:rPr>
          <w:b/>
        </w:rPr>
        <w:t>E. 4.3</w:t>
      </w:r>
    </w:p>
    <w:p>
      <w:r>
        <w:t>In der vorliegenden Angelegenheit ist unbestritten, dass die Beschwerdeführerin die Schweiz zu keinem Zeitpunkt länger als sechs Monate verlassen hat. Ebenso ist aktenkundig, dass sich die Beschwerdeführerin nicht abgemeldet oder ein Gesuch um Aufrechterhaltung der Niederlassungsbewilligung gestellt hat (vgl. Art. 61 Abs. 1 lit. a und Abs. 2 Satz 2 AIG). Es stellt sich indes die Frage, ob die Aufenthalte der Beschwerdeführerin in der Schweiz ab 2013 lediglich vorübergehenden Besuchszwecken im Sinne von Art. 79 Abs. 1 VZAE dienten oder ob diese Aufenthalte die Sechsmonatsfrist von Art. 61 Abs. 2 Satz 1 AIG jeweils unterbrachen.</w:t>
      </w:r>
    </w:p>
    <w:p>
      <w:r>
        <w:rPr>
          <w:b/>
        </w:rPr>
        <w:t>E. 4.3.1</w:t>
      </w:r>
    </w:p>
    <w:p>
      <w:r>
        <w:t>Für die Beurteilung, ob die Niederlassungsbewilligung der Beschwerdeführerin erloschen ist, stellt die Vorinstanz im Wesentlichen auf deren Lebensmittelpunkt ab (vgl. E. 4.3 des angefochtenen Urteils). Das Kriterium des Lebensmittelpunkts ist nach der bundesgerichtlichen Rechtsprechung jedoch erst dann massgebend, wenn die ausländische Person jeweils vor Ablauf der sechs Monate in die Schweiz zurückkehrt, nur um die Aufenthaltsberechtigung nicht zu verlieren. Davon ist namentlich auszugehen, wenn die ausländische Person bloss vorübergehend für Besuchs-, Tourismus- oder Geschäftszwecke in die Schweiz zurückkehrt (vgl. Art. 79 Abs. 1 VZAE ) oder die besuchsweise Rückkehr einzig dem Zweck dient, den Fristenlauf im Sinne von Art. 61 Abs. 2 AIG zu unterbrechen (vgl. E. 4.2.2 hiervor; BGE 145 II 322 E. 2.4 S. 326). Es handelt sich typischerweise um Konstellationen, in denen diese Besuche jeweils nur einige Tage dauern, der grösste Teil der Zeit indes im Ausland verbracht wird (vgl. Urteile 2C_158/2020 vom 21. August 2020 E. 3.6; 2C_424/2020 vom 18. August 2020 E. 5.2 f.). In diesem Sinne ist beispielsweise bei niederlassungsberechtigten ausländischen Kindern, die in der Heimat eine Ausbildung absolvieren, aber jeweils vor Ablauf der Frist von sechs Monaten in die Schweiz zurückkehren und ihre ganzen Schulferien bei den Eltern in der Schweiz verbringen, im Grundsatz bereits davon auszugehen, dass die Niederlassungsbewilligung fortbesteht (vgl. Urteile 2C_220/2019 vom 11. Februar 2020 E. 4.2 i.f.; 2C_691/2017 vom 18. Januar 2018 E. 3.2).</w:t>
      </w:r>
    </w:p>
    <w:p>
      <w:r>
        <w:rPr>
          <w:b/>
        </w:rPr>
        <w:t>E. 4.3.2</w:t>
      </w:r>
    </w:p>
    <w:p>
      <w:r>
        <w:t>In der vorliegenden Angelegenheit hat sich die Beschwerdeführerin seit dem Jahr 2013 zwar regelmässig für längere Zeit in die Türkei zu ihrem Ehemann begeben. Dennoch hat sie mindestens die Hälfte der Zeit in der Schweiz verbracht (vgl. E. 3 hiervor). Sie gestaltet ihr Leben ganz offensichtlich derart, dass sie jährlich sowohl mit ihrem Ehegatten in der Türkei als auch mit den in der Schweiz lebenden Kindern Zeit verbringt. Unter diesen Umständen kann nicht mehr von bloss kurzfristigen oder vorübergehenden Besuchsaufenthalten ausgegangen werden. Es sind auch keinerlei Anhaltspunkte ersichtlich, dass die Beschwerdeführerin einzig in die Schweiz zurückgekehrt wäre, um den Fristenlauf von Art. 61 Abs. 2 AIG zu unterbrechen. Vielmehr liegen ernsthafte und sachliche Gründe für ihre regelmässige Rückkehr vor, da vier ihrer erwachsenen Kinder und ihre Enkelkinder in der Schweiz leben.</w:t>
      </w:r>
    </w:p>
    <w:p>
      <w:r>
        <w:rPr>
          <w:b/>
        </w:rPr>
        <w:t>E. 4.3.3</w:t>
      </w:r>
    </w:p>
    <w:p>
      <w:r>
        <w:t>Dass die Beschwerdeführer mit ihrem Ehemann seit 1980 eine intakte Ehe lebt, spricht nicht gegen die Aufrechterhaltung der Niederlassungsbewilligung. Es muss auch einer ausländischen Person möglich sein, eine Distanzbeziehung zu ihrem Ehegatten zu führen. Dies muss insbesondere dann gelten, wenn die ausländische Person - wie die Beschwerdeführerin vorliegend - zu ihren in der Schweiz lebenden Kindern eine enge Beziehung pflegt. Da keine Hinweise auf eine missbräuchliche Fristunterbrechung durch Kurzaufenthalte besteht, bleibt entgegen der vorinstanzlichen Auffassung kein Raum für die Anknüpfung an das Kriterium des Lebensmittelpunkts. Die Beschwerdeführerin hat mit ihrer regelmässigen und begründeten Rückkehr in die Schweiz die Sechsmonatsfrist von Art. 61 Abs. 2 Satz 1 AIG jeweils unterbrochen. Folglich ist ihre Niederlassungsbewilligung nicht erloschen.</w:t>
      </w:r>
    </w:p>
    <w:p>
      <w:r>
        <w:rPr>
          <w:b/>
        </w:rPr>
        <w:t>E. 4.4</w:t>
      </w:r>
    </w:p>
    <w:p>
      <w:r>
        <w:t>Der Vollständigkeit halber ist darauf hinzuweisen, dass die vorinstanzliche Erwägung, die Beschwerdeführerin zeige sich auf ihrem Ausweis in traditioneller türkischer Kleidung, was darauf hindeute, dass sie kulturell stark an die Gepflogenheiten im Heimatland gebunden sei, für die Beurteilung der vorliegenden Angelegenheit in keiner Weise sachdienlich ist (vgl. E. 4.3 S. 9 des angefochtenen Urteils). Die Frage, ob eine Bewilligung einer ausländischen Person als erloschen gilt, ist anhand von sachlichen Kriterien wie der Aufenthaltsdauer oder den gelebten Beziehungen zu beurteilen. Das Aussehen oder die Kleidung einer ausländischen Person ist hierfür gänzlich ungeeignet (vgl. Art. 8 Abs. 2 BV ).</w:t>
      </w:r>
    </w:p>
    <w:p>
      <w:r>
        <w:rPr>
          <w:b/>
        </w:rPr>
        <w:t>E. 5</w:t>
      </w:r>
    </w:p>
    <w:p>
      <w:r>
        <w:t>Im Ergebnis erweist sich die Beschwerde als begründet, weshalb sie gutzuheissen ist, soweit darauf eingetreten wird. Das Urteil vom 20. Mai 2020 ist aufzuheben, womit die unbefristete Niederlassungsbewilligung der Beschwerdeführerin weitergilt (vgl. Art. 34 Abs. 1 AIG ). Die Angelegenheit ist zur Neuverlegung der Kosten- und Entschädigungsfolgen des vorinstanzlichen Verfahrens an die Vorinstanz zurückzuweisen ( Art. 67 BGG ). Diesem Verfahrensausgang entsprechend sind keine Gerichtskosten zu erheben ( Art. 66 Abs. 4 BGG ). Der Kanton Thurgau hat der Beschwerdeführerin eine Parteientschädigung für das bundesgerichtliche Verfahren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