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602/2019 vom 25. Juni 2019</w:t>
      </w:r>
    </w:p>
    <w:p>
      <w:r>
        <w:t>Bundesgericht, 2019-06-25, FR</w:t>
      </w:r>
    </w:p>
    <w:p>
      <w:r>
        <w:rPr>
          <w:b/>
        </w:rPr>
        <w:t xml:space="preserve">Quelle: </w:t>
      </w:r>
      <w:r>
        <w:t>https://mcp.opencaselaw.ch/entscheid/bger_2C_602_2019</w:t>
      </w:r>
    </w:p>
    <w:p>
      <w:r>
        <w:t>FR: TF 2C 602/2019 du 25 juin 2019</w:t>
      </w:r>
    </w:p>
    <w:p>
      <w:r>
        <w:t>IT: TF 2C 602/2019 del 25 giugno 2019</w:t>
      </w:r>
    </w:p>
    <w:p>
      <w:pPr>
        <w:pStyle w:val="Heading2"/>
      </w:pPr>
      <w:r>
        <w:t>Regeste</w:t>
      </w:r>
    </w:p>
    <w:p>
      <w:r>
        <w:t>Refus d'octroi d'une autorisation de séjour sous quelque forme que ce soit et renvoi de Suisse | Droit de cité et droit des étrangers</w:t>
      </w:r>
    </w:p>
    <w:p>
      <w:pPr>
        <w:pStyle w:val="Heading2"/>
      </w:pPr>
      <w:r>
        <w:t>Erwägungen</w:t>
      </w:r>
    </w:p>
    <w:p>
      <w:r>
        <w:rPr>
          <w:b/>
        </w:rPr>
        <w:t>E. 1</w:t>
      </w:r>
    </w:p>
    <w:p>
      <w:r>
        <w:t>Par arrêt du 11 juin 2019, le Tribunal cantonal du canton de Vaud a rejeté le recours que les époux A.________, ressortissant colombien entré en Suisse en 2007 sans autorisation, et B.________, ressortissante équatorienne entrée en Suisse en 1999 sans autorisation, avaient déposé contre la décision du Service de la population du canton de Vaud du 7 décembre 2018 refusant de leur octroyer une autorisation de séjour pour cas individuels d'extrême gravité au sens de l' art. 30 al. 1 let. b LEI .</w:t>
      </w:r>
    </w:p>
    <w:p>
      <w:r>
        <w:rPr>
          <w:b/>
        </w:rPr>
        <w:t>E. 2</w:t>
      </w:r>
    </w:p>
    <w:p>
      <w:r>
        <w:t>Agissant par la voie du recours en matière de droit public et celle subsidiaire du recours constitutionnel, les intéressés demandent au Tribunal fédéral, sous suite de frais et dépens, d'être mis au bénéfice d'une autorisation de séjour. Ils invoquent la violation des art. 8 CEDH ainsi que 9 Cst. dans l'application de l' art. 30 al. 1 let. b LEI . Ils demandent l'effet suspensif.</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et celles qui concernent les dérogations aux conditions d'admission (ch. 5), parmi lesquelles figurent les cas de rigueur ( art. 30 al. 1 let. b LEI ).</w:t>
      </w:r>
    </w:p>
    <w:p>
      <w:r>
        <w:rPr>
          <w:b/>
        </w:rPr>
        <w:t>E. 3.2</w:t>
      </w:r>
    </w:p>
    <w:p>
      <w:r>
        <w:t>Les recourants se prévalent du droit au respect de la vie privée et de la vie de famille garanti par l' art. 8 CEDH . 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En l'espèce, les recourants n'ont séjourné en Suisse que de manière illégale. Ils ne peuvent donc pas de se prévaloir de manière soutenable du droit au respect de la vie familiale et de la vie privée garanti par l' art. 8 CEDH .</w:t>
      </w:r>
    </w:p>
    <w:p>
      <w:r>
        <w:rPr>
          <w:b/>
        </w:rPr>
        <w:t>E. 3.3</w:t>
      </w:r>
    </w:p>
    <w:p>
      <w:r>
        <w:t>Enfin, l' art. 30 al. 1 let. b LEI ne leur confère aucun droit en raison de sa formulation potestative (arrêt 2C_222/2017 du 29 novembre 2017 consid. 1.1 non publié in ATF 144 II 1 ). Reste par conséquent seule ouverte la voie du recours constitutionnel subsidiaire.</w:t>
      </w:r>
    </w:p>
    <w:p>
      <w:r>
        <w:rPr>
          <w:b/>
        </w:rPr>
        <w:t>E. 4</w:t>
      </w:r>
    </w:p>
    <w:p>
      <w:r>
        <w:t>Le recours constitutionnel subsidiaire ( art. 113 ss LTF ) peut en principe être formé pour violation des droits constitutionnels ( art. 116 LTF ). La qualité pour former un recours constitutionnel subsidiaire suppose cependant un " intérêt juridique " à l'annulation ou à la modification de la décision attaquée ( art. 115 let. b LTF ; cf. ATF 133 I 185 ), dont les recourants, qui ne peuvent se prévaloir ni de l' art. 8 CEDH ni de l' art. 30 al. 1 let. b LEI (cf. consid. 3 ci-dessus) et qui ne peuvent pas invoquer de manière indépendante l'interdiction de l'arbitraire, n'ont pas une position juridique protégée leur conférant la qualité pour agir au fond sous cet angle ( ATF 133 I 185 ).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 n'ont pas fait, puisqu'ils n'invoquent la violation d'aucun droit constitutionnel formel.</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