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601/2008 vom 25. November 2008</w:t>
      </w:r>
    </w:p>
    <w:p>
      <w:r>
        <w:t>Bundesgericht, 2008-11-25, FR</w:t>
      </w:r>
    </w:p>
    <w:p>
      <w:r>
        <w:rPr>
          <w:b/>
        </w:rPr>
        <w:t xml:space="preserve">Quelle: </w:t>
      </w:r>
      <w:r>
        <w:t>https://mcp.opencaselaw.ch/entscheid/bger_2C_601_2008</w:t>
      </w:r>
    </w:p>
    <w:p>
      <w:r>
        <w:t>FR: TF 2C 601/2008 du 25 novembre 2008</w:t>
      </w:r>
    </w:p>
    <w:p>
      <w:r>
        <w:t>IT: TF 2C 601/2008 del 25 novembre 2008</w:t>
      </w:r>
    </w:p>
    <w:p>
      <w:pPr>
        <w:pStyle w:val="Heading2"/>
      </w:pPr>
      <w:r>
        <w:t>Regeste</w:t>
      </w:r>
    </w:p>
    <w:p>
      <w:r>
        <w:t>Impôt anticipé 2003 | Finances publiques &amp; droit fiscal</w:t>
      </w:r>
    </w:p>
    <w:p>
      <w:pPr>
        <w:pStyle w:val="Heading2"/>
      </w:pPr>
      <w:r>
        <w:t>Erwägungen</w:t>
      </w:r>
    </w:p>
    <w:p>
      <w:r>
        <w:rPr>
          <w:b/>
        </w:rPr>
        <w:t>E. 1.1</w:t>
      </w:r>
    </w:p>
    <w:p>
      <w:r>
        <w:t>Le recourant n'a pas indiqué par quelle voie de droit il procède au Tribunal fédéral. Toutefois, cette imprécision ne saurait lui nuire si son recours remplit les exigences légales de la voie de droit qui lui est ouverte (au sujet d'une voie erronée de recours, ATF 133 I 300 consid. 1.2 p. 302 s., 308 consid. 4.1 p. 314). Déposé en temps utile contre une décision rendue dans une cause de droit public par une autorité cantonale de dernière instance, sans qu'aucune des exceptions prévues à l' art. 83 LTF ne soit réalisée, le recours est en principe recevable comme recours en matière de droit public en vertu des art. 82 ss LTF et de la règle particulière de l' art. 56 LIA (cf. art. 86 al. 2 LTF ).</w:t>
      </w:r>
    </w:p>
    <w:p>
      <w:r>
        <w:rPr>
          <w:b/>
        </w:rPr>
        <w:t>E. 1.2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les principes de droit qui auraient été violés; il suffit qu'à la lecture de son exposé, on comprenne clairement quelles règles de droit auraient été, selon lui, transgressées par l'autorité intimée (cf. ATF 133 IV 119 consid. 6.3 p. 120 s., 286 consid. 1.4 p. 287 et les arrêts cités), le Tribunal fédéral appliquant en effet le droit d'office s'agissant du droit fédéral ( art. 106 al. 1 LTF ). La motivation du recourant est très sommaire. On comprend néanmoins qu'il estime injustifié le refus de lui restituer l'impôt anticipé relatif à la promotion "A.________", alors qu'il considère avoir demandé le remboursement à temps, lors de la procédure de rappel d'impôt; une collaboratrice de l'administration cantonale lui aurait toutefois indiqué, le 21 octobre 2005, que l'impôt anticipé était irrécupérable. Même s'il n'invoque pas explicitement l' art. 23 LIA sur lequel se fonde la décision attaquée, il apparaît clairement que l'intéressé fait valoir une mauvaise application de cette disposition par l'autorité intimée. Par conséquent, on peut considérer que l'écriture du recourant, qui agit sans l'assistance d'un mandataire professionnel, remplit de justesse les exigences minimales de motivation de l' art. 42 al. 2 LTF .</w:t>
      </w:r>
    </w:p>
    <w:p>
      <w:r>
        <w:rPr>
          <w:b/>
        </w:rPr>
        <w:t>E. 2</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(cf. art. 97 al. 1 LTF ). A ce défaut, un état de fait divergent de celui de la décision attaquée ne peut être pris en compte. Le recourant allègue qu'il a demandé le remboursement de l'impôt anticipé "en bonne et due forme" lors de la procédure de rappel d'impôt, auprès d'une collaboratrice de l'administration cantonale; lors d'un entretien du 21 octobre 2005, celle-ci lui aurait indiqué que l'impôt anticipé était irrécupérable. Ces deux éléments ne ressortent cependant ni de la décision entreprise, ni du dossier (si ce n'est des différents courriers du recourant). Or, l'intéressé ne se plaint pas que l'autorité intimée aurait constaté les faits de façon arbitraire ou en violation d'un autre droit constitutionnel. Le grief est donc irrecevable et il n'y a pas lieu de compléter l'état de fait. D'ailleurs, ces éléments n'étaient de toute manière pas de nature à influer sur le sort de la présente procédure (cf. consid. 4 ci-dessous).</w:t>
      </w:r>
    </w:p>
    <w:p>
      <w:r>
        <w:rPr>
          <w:b/>
        </w:rPr>
        <w:t>E. 3</w:t>
      </w:r>
    </w:p>
    <w:p>
      <w:r>
        <w:t>Aux termes de l' art. 23 LIA , celui qui, contrairement aux prescriptions légales, n'indique pas aux autorités fiscales compétentes un revenu grevé de l'impôt anticipé ou de la fortune d'où provient ce revenu perd le droit au remboursement de l'impôt anticipé déduit de ce revenu. Selon la jurisprudence constante,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(arrêt du Tribunal fédéral 2A.11/1995 du 31 janvier 1996, in Archives 65 p. 568, consid. 6; arrêt 2A.114/1990 du 5 septembre 1990, in Archives 60 p. 65, consid. 2a; arrêt 2A.152/1988 du 28 avril 1989, in Archives 58 p. 456, consid. 2).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 ATF 113 Ib 128 consid. 2a p. 129 s.). Une simple négligence suffit à justifier l'application de l' art. 23 LIA (arrêt 2A.114/1990 op. cit. consid. 3c; arrêt 2A.152/1988 op. cit. consid. 3b).</w:t>
      </w:r>
    </w:p>
    <w:p>
      <w:r>
        <w:rPr>
          <w:b/>
        </w:rPr>
        <w:t>E. 4</w:t>
      </w:r>
    </w:p>
    <w:p>
      <w:r>
        <w:t>En l'espèce, le recourant n'a pas fait figurer le compte construction de la promotion immobilière "A.________" dans sa déclaration fiscale 2003. Il a certes mentionné que son frère et lui-même allaient terminer le décompte de la promotion pour la fin août 2004, mais sans joindre les documents y relatifs. Lors de la notification du bordereau des impôts de l'année fiscale 2003, le 19 avril 2005, il n'avait toujours pas transmis à l'administration fiscale le décompte final de ladite promotion, lequel n'a dès lors pas pu être pris en compte pour le calcul de l'impôt. Demeurée incontestée, la taxation est entrée en force le 19 mai 2005. Le recourant a fait parvenir à l'administration fiscale les pièces relatives à la promotion "A.________" avec sa déclaration fiscale 2004. La date de l'expédition de la déclaration ne ressort pas du dossier, mais l'intéressé ne conteste pas l'avoir envoyée après l'entrée en force de la taxation 2003. Il apparaît donc qu'il n'a pas annoncé le résultat de la promotion ni communiqué les renseignements complémentaires en temps utile et que, par conséquent, il a perdu le droit de se faire rembourser l'impôt anticipé. Dans ces conditions, toutes les demandes subséquentes en restitution de l'impôt anticipé sont également tardives. Il importe dès lors peu qu'il ait formulé sa requête le 23 mai 2006, comme l'a retenu l'autorité intimée, ou qu'il ait valablement fait cette demande lors de la procédure de rappel d'impôt, ouverte le 18 octobre 2005, ainsi qu'il l'allègue. On peut relever à cet égard que la procédure de rappel d'impôt est distincte de la procédure ordinaire et que le bordereau rectificatif ne modifie pas l'entrée en vigueur de la taxation ordinaire. Le Tribunal fédéral a ainsi jugé que le contribuable qui remettait une déclaration incomplète et ne déclarait le revenu soumis à l'impôt anticipé qu'au cours de la procédure de révision, de rappel d'impôt ou en soustraction, était déchu de son droit au remboursement de l'impôt anticipé relatif à ce revenu (arrêt 2A.152/1988 op. cit. consid. 3a). De même, le fait d'annoncer spontanément, après l'entrée en force de la taxation, un revenu oublié dans la déclaration, n'évite pas la déchéance du droit au remboursement de l'impôt anticipé (arrêt 2A.152/1988 op. cit. consid. 3d; ATF 110 Ib 319 consid. 6cc p. 327 s.).</w:t>
      </w:r>
    </w:p>
    <w:p>
      <w:r>
        <w:rPr>
          <w:b/>
        </w:rPr>
        <w:t>E. 5</w:t>
      </w:r>
    </w:p>
    <w:p>
      <w:r>
        <w:t>Il résulte de ce qui précède qu'en confirmant le refus de l'administration cantonale de rembourser au recourant l'impôt anticipé relatif à la promotion "A.________", l'autorité intimée a correctement appliqué le droit fédéral. Partant, le recours est mal fondé et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