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2C_59/2021 vom 5. Februar 2021</w:t>
      </w:r>
    </w:p>
    <w:p>
      <w:r>
        <w:t>Bundesgericht, 2021-02-05, IT</w:t>
      </w:r>
    </w:p>
    <w:p>
      <w:r>
        <w:rPr>
          <w:b/>
        </w:rPr>
        <w:t xml:space="preserve">Quelle: </w:t>
      </w:r>
      <w:r>
        <w:t>https://mcp.opencaselaw.ch/entscheid/bger_2C_59_2021</w:t>
      </w:r>
    </w:p>
    <w:p>
      <w:r>
        <w:t>FR: TF 2C_59/2021 du 5 février 2021</w:t>
      </w:r>
    </w:p>
    <w:p>
      <w:r>
        <w:t>IT: TF 2C_59/2021 del 5 febbraio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145 V 380 consid. 1; 145 I 239 consid. 2; 145 II 168 consid. 1 e rispettivi rinvii).</w:t>
      </w:r>
    </w:p>
    <w:p>
      <w:r>
        <w:rPr>
          <w:b/>
        </w:rPr>
        <w:t>E. 1.2</w:t>
      </w:r>
    </w:p>
    <w:p>
      <w:r>
        <w:t>Il ricorrente è cittadino italiano e l'ALC (RS 0.142.112.681) gli conferisce, di principio, un diritto a soggiornare in Svizzera, per svolgervi o meno un'attività lucrativa ( DTF 136 II 177 consid. 1.1), motivo per cui l'eccezione dell'art. 83 lett. c n. 2 LTF non trova applicazione nei suoi confronti (sentenza 2C_310/2012 del 12 novembre 2012 consid. 1.2). Il gravame, presentato in tempo utile (art. 100 cpv. 1 e 46 cpv. 1 lett. c LTF) e diretto contro una decisione finale di un'autorità cantonale di ultima istanza con carattere di tribunale superiore (art. 86 cpv. 1 lett. d e cpv. 2 e art. 90 LTF ), è quindi ammissibile quale ricorso in materia di diritto pubblico.</w:t>
      </w:r>
    </w:p>
    <w:p>
      <w:r>
        <w:rPr>
          <w:b/>
        </w:rPr>
        <w:t>E. 1.3</w:t>
      </w:r>
    </w:p>
    <w:p>
      <w:r>
        <w:t>Giusta l' art. 42 LTF , un ricorso davanti al Tribunale federale deve contenere conclusioni, motivi e indicazione dei mezzi di prova (cpv. 1); nei motivi occorre spiegare in modo conciso perché l'atto impugnato viola il diritto (cpv. 2). Nell'allegato ricorsuale, la parte ricorrente deve di conseguenza confrontarsi almeno sommariamente con i considerandi del giudizio impugnato, esponendo in quale misura lo stesso sarebbe lesivo del diritto ( DTF 134 II 244 consid. 2.1 e 2.3). Esigenze più severe valgono poi in relazione alla violazione di diritti fondamentali e di disposizioni di diritto cantonale, che dev'essere fatta valere con precisione ( art. 106 cpv. 2 LTF ; DTF 133 II 249 consid. 1.4.2).</w:t>
      </w:r>
    </w:p>
    <w:p>
      <w:r>
        <w:rPr>
          <w:b/>
        </w:rPr>
        <w:t>E. 2.1</w:t>
      </w:r>
    </w:p>
    <w:p>
      <w:r>
        <w:t>Oggetto di disamina può essere unicamente la questione di sapere se il Giudice delegato del Tribunale cantonale amministrativo ha, a ragione, confermato il giudizio con cui il Governo ticinese ha dichiarato irricevibile, siccome tardivo, il ricorso sottopostogli il 28 settembre 2020. In altre parole oggetto di giudizio è unicamente l'eventuale applicazione arbitraria del diritto procedurale cantonale. Ora, l' art. 106 cpv. 2 LTF impone alla parte ricorrente di specificare quali diritti di carattere costituzionale ritiene lesi e di esporre le sue censure in modo chiaro, circostanziato ed esaustivo ( DTF 142 III 364 consid. 2.4; 141 I 36 consid. 1.3; 135 III 232 consid. 1.2 e rispettivi rinvii).</w:t>
      </w:r>
    </w:p>
    <w:p>
      <w:r>
        <w:rPr>
          <w:b/>
        </w:rPr>
        <w:t>E. 2.2</w:t>
      </w:r>
    </w:p>
    <w:p>
      <w:r>
        <w:t>Nella presente fattispecie l'allegato ricorsuale nulla contiene in merito all'eventuale applicazione incostituzionale del diritto procedurale cantonale, segnatamente riguardo ad un'interpretazione arbitraria (su questa nozione vedasi DTF 138 I 49 consid. 7.1; 137 I 1 consid. 2.4; 136 I 316 consid. 2.2.2; 134 II 124 consid. 4.1) delle conseguenze che derivano dal mancato rispetto del termine di ricorso di trenta giorni di cui all'art. 68 cpv. 1 LPAmm, cioè l'inammissibilità dell'allegato ricorsuale (art. 13 cpv. 1 LPAmm). Limitarsi, come fatto dal ricorrente, a precisazioni puntuali sulla sua attuale situazione rispettivamente a criticare il merito della vertenza, adducendo che il giudizio contestato è ingiustificato nonché sproporzionato, non adempie all'evidenza le esigenze dell' art. 106 cpv. 2 LTF . L'impugnativa sfugge pertanto ad un esame di merito.</w:t>
      </w:r>
    </w:p>
    <w:p>
      <w:r>
        <w:rPr>
          <w:b/>
        </w:rPr>
        <w:t>E. 2.3</w:t>
      </w:r>
    </w:p>
    <w:p>
      <w:r>
        <w:t>Per i motivi illustrati il ricorso si avvera pertanto manifestamente inammissibile e può essere deciso secondo la procedura semplificata di cui all' art. 108 cpv. 1 LTF .</w:t>
      </w:r>
    </w:p>
    <w:p>
      <w:r>
        <w:rPr>
          <w:b/>
        </w:rPr>
        <w:t>E. 3.1</w:t>
      </w:r>
    </w:p>
    <w:p>
      <w:r>
        <w:t>Con l'evasione del ricorso, la domanda di conferimento dell'effetto sospensivo è divenuta priva d'oggetto.</w:t>
      </w:r>
    </w:p>
    <w:p>
      <w:r>
        <w:rPr>
          <w:b/>
        </w:rPr>
        <w:t>E. 3.2</w:t>
      </w:r>
    </w:p>
    <w:p>
      <w:r>
        <w:t>Le spese seguono la soccombenza ( art. 66 cpv. 1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