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2C_59/2011 vom 1. Juni 2011</w:t>
      </w:r>
    </w:p>
    <w:p>
      <w:r>
        <w:t>Bundesgericht, 2011-06-01, FR</w:t>
      </w:r>
    </w:p>
    <w:p>
      <w:r>
        <w:rPr>
          <w:b/>
        </w:rPr>
        <w:t xml:space="preserve">Quelle: </w:t>
      </w:r>
      <w:r>
        <w:t>https://mcp.opencaselaw.ch/entscheid/bger_2C_59_2011</w:t>
      </w:r>
    </w:p>
    <w:p>
      <w:r>
        <w:t>FR: TF 2C_59/2011 du 1 juin 2011</w:t>
      </w:r>
    </w:p>
    <w:p>
      <w:r>
        <w:t>IT: TF 2C_59/2011 del 1 giugno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Le Tribunal fédéral conduit son raisonnement juridique sur la base des faits établis par l'autorité précédente ( art. 105 al. 1 LTF ). Selon l' art. 99 al. 1 LTF , aucun fait nouveau ni preuve nouvelle ne peut être présenté, à moins de résulter de la décision de l'autorité précédente.</w:t>
      </w:r>
    </w:p>
    <w:p>
      <w:r>
        <w:rPr>
          <w:b/>
        </w:rPr>
        <w:t>E. 1.3</w:t>
      </w:r>
    </w:p>
    <w:p>
      <w:r>
        <w:t>Lors de l'examen d'une taxation par estimation,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(arrêts 2C_426/2007 du 22 novembre 2007 consid. 1.3, in RDAF 2008 II p. 20, Archives 77 p. 343, RF 63/2008 p. 289; 2C_426/2008 du 18 février 2009 consid. 5.2, in Archives 79 p. 608, RF 64/2009 p. 605).</w:t>
      </w:r>
    </w:p>
    <w:p>
      <w:r>
        <w:rPr>
          <w:b/>
        </w:rPr>
        <w:t>E. 2</w:t>
      </w:r>
    </w:p>
    <w:p>
      <w:r>
        <w:t>L'aOTVA a été remplacée par l'aLTVA, entrée en vigueur le 1er janvier 2001. Selon l'art. 93 al. 1 aLTVA, les dispositions abrogées et leurs dispositions d'exécution restent applicables, sous réserve d'exceptions non réalisées en l'espèce, à tous les faits et rapports juridiques ayant pris naissance au cours de leur durée de validité. L'aOTVA s'applique dès lors au présent litige, en tant qu'il porte sur les périodes fiscales allant du 1er au 4ème trimestre 2000. Au surplus, l'aLTVA est applicable pour ce qui est des périodes fiscales allant du 1er trimestre 2001 au 2ème trimestre 2006.</w:t>
      </w:r>
    </w:p>
    <w:p>
      <w:r>
        <w:rPr>
          <w:b/>
        </w:rPr>
        <w:t>E. 3.1</w:t>
      </w:r>
    </w:p>
    <w:p>
      <w:r>
        <w:t>En vertu des art. 37 aOTVA et 46 aLTVA, l'assujetti est tenu de déclarer spontanément l'impôt et l'impôt préalable, en la forme prescrite, à l'Administration fédérale. A cet effet, il doit renseigner celle-ci sur tous les faits qui peuvent avoir de l'importance pour la constatation de l'assujettissement ou pour le calcul de l'impôt (art. 46 aOTVA, 57 al. 1 aLTVA). Il doit également tenir ses livres comptables de manière à ce que les faits importants pour la détermination de l'assujettissement, le calcul de l'impôt et celui de l'impôt préalable déductible puissent être constatés aisément et de manière sûre. L'Administration fédérale peut édicter des dispositions particulières à ce sujet (art. 47 al. 1 aOTVA, 58 al. 1 aLTVA).</w:t>
      </w:r>
    </w:p>
    <w:p>
      <w:r>
        <w:rPr>
          <w:b/>
        </w:rPr>
        <w:t>E. 3.2</w:t>
      </w:r>
    </w:p>
    <w:p>
      <w:r>
        <w:t>Selon les art. 48 aOTVA et 60 aLTVA, si les documents comptables font défaut ou sont incomplets, ou si les résultats présentés par l'assujetti ne correspondent manifestement pas à la réalité, l'Administration fédérale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prescrivent les art. 48 aOTVA et 60 aLTVA en exigeant que l'Administration fédérale procède "dans les limites de son pouvoir d'appréciation".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(arrêt 2C_426/2007, précité, consid. 3.2 et la jurisprudence citée).</w:t>
      </w:r>
    </w:p>
    <w:p>
      <w:r>
        <w:rPr>
          <w:b/>
        </w:rPr>
        <w:t>E. 4.1</w:t>
      </w:r>
    </w:p>
    <w:p>
      <w:r>
        <w:t>Il ressort de la décision attaquée que l'Administration fédérale a constaté qu'une partie du chiffre d'affaires de l'entreprise n'avait pas été comptabilisée, ce que le recourant admettait d'ailleurs partiellement dans son recours devant l'autorité précédente. De plus, les marges de bénéfice brut ressortant de la comptabilité ne correspondaient manifestement pas à la réalité, celles-ci étant très faibles par rapport à celles d'autres entreprises de la même branche, sans que le recourant ait pu expliquer ces divergences de manière plausible. Par conséquent, les conditions d'une taxation par estimation étaient manifestement réalisées. Quant aux modalités de celle-ci, l'Administration fédérale s'était référée à la marge brute pratiquée par les entreprises de la branche menuiserie et vitrerie, qui était de 30% selon ses données d'expérience. Elle avait cependant basé son estimation sur un taux de 23%, "afin de se rapprocher le plus possible de la réalité de l'activité du recourant". La marge retenue était "légèrement inférieure à la limite du quartile inférieur (25,8%) dans lequel se trouvent un quart des données les plus faibles de l'échantillon". Le recourant contestait l'utilisation des coefficients d'expérience dans son principe, ainsi que la marge brute retenue. Il prétendait réaliser des marges inférieures, sans toutefois étayer ses affirmations par aucun élément qui n'ait déjà été pris en compte dans l'estimation de l'Administration fédérale. En outre, il se contentait d'allégations non prouvées, alors qu'il supportait le fardeau de la preuve.</w:t>
      </w:r>
    </w:p>
    <w:p>
      <w:r>
        <w:rPr>
          <w:b/>
        </w:rPr>
        <w:t>E. 4.2</w:t>
      </w:r>
    </w:p>
    <w:p>
      <w:r>
        <w:t>Devant le Tribunal de céans, le recourant conteste "vigoureusement" que sa comptabilité soit mal tenue. Il fait valoir qu'"en ce qui concerne les anomalies relevées par l'AFC, toutes ont pu être expliquées et aucune ne laisse apparaître une comptabilité incomplète ou qui ne correspond manifestement pas à la réalité". Il se prévaut également de ce que "différents contrôles fiscaux opérés pendant les mêmes périodes concernées n'ont donné lieu à aucune reprise" et du fait que sa comptabilité est régulièrement contrôlée. Il s'en prend par ailleurs à la marge brute de 23%, qui ne correspondrait pas aux montants ressortant de sa comptabilité, ni à l'activité de son entreprise. Celle-ci ne relèverait pas de la menuiserie "classique", mais consisterait principalement en la pose de fenêtres, activité où les marges seraient plus faibles, ce d'autant que le marché imposerait d'accorder des rabais aux clients. En outre, dans son entreprise, la masse salariale représenterait entre 24 et 25% du chiffre d'affaires, alors que la proportion serait de l'ordre de 17 à 18% dans une activité de menuiserie traditionnelle. Le recourant joint seize "dossiers financiers" aux fins de démontrer que la marge retenue par l'Administration fédérale et confirmée par l'autorité précédente serait erronée.</w:t>
      </w:r>
    </w:p>
    <w:p>
      <w:r>
        <w:rPr>
          <w:b/>
        </w:rPr>
        <w:t>E. 4.3</w:t>
      </w:r>
    </w:p>
    <w:p>
      <w:r>
        <w:t>S'agissant des conditions de la taxation par estimation, les dénégations et affirmations toutes générales du recourant ne suffisent à l'évidence pas à démontrer la force probante de sa comptabilité, ce d'autant que, dans son recours devant l'autorité précédente, il a explicitement admis l'existence de certaines erreurs et "omissions involontaires".</w:t>
      </w:r>
    </w:p>
    <w:p>
      <w:r>
        <w:t>Quant à la marge brute sur laquelle sont basées les estimations, les dossiers financiers produits par le recourant constituent des moyens de preuve nouveaux et sont, partant, irrecevables (cf. consid. 1.2 ci-dessus). Pour ce qui est du reste des particularités de l'entreprise du recourant, l'Administration fédérale et, à sa suite, l'autorité précédente en ont déjà tenu compte en basant leur estimation sur une marge brute de 23%, alors que, selon les données d'expérience, celle pratiquée dans la branche de la menuiserie est en moyenne de 30%. Cet écart de 7% correspond d'ailleurs approximativement à la part accrue que la masse salariale représenterait dans le chiffre d'affaires du recourant (24 à 25% au lieu de 17 à 18% dans une activité de menuiserie traditionnelle) selon les affirmations, au demeurant non prouvées, de ce dernier.</w:t>
      </w:r>
    </w:p>
    <w:p>
      <w:r>
        <w:rPr>
          <w:b/>
        </w:rPr>
        <w:t>E. 5</w:t>
      </w:r>
    </w:p>
    <w:p>
      <w:r>
        <w:t>Vu ce qui précède, le recours doit être rejeté dans la mesure où il est recevable.</w:t>
      </w:r>
    </w:p>
    <w:p>
      <w:r>
        <w:t>Succombant, le recourant doit supporter un émolument judiciaire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