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2C_598/2012 vom 21. November 2012</w:t>
      </w:r>
    </w:p>
    <w:p>
      <w:r>
        <w:t>Bundesgericht, 2012-11-21, DE</w:t>
      </w:r>
    </w:p>
    <w:p>
      <w:r>
        <w:rPr>
          <w:b/>
        </w:rPr>
        <w:t xml:space="preserve">Quelle: </w:t>
      </w:r>
      <w:r>
        <w:t>https://mcp.opencaselaw.ch/entscheid/bger_2C_598_2012</w:t>
      </w:r>
    </w:p>
    <w:p>
      <w:r>
        <w:t>FR: TF 2C_598/2012 du 21 novembre 2012</w:t>
      </w:r>
    </w:p>
    <w:p>
      <w:r>
        <w:t>IT: TF 2C_598/2012 del 21 novembre 2012</w:t>
      </w:r>
    </w:p>
    <w:p>
      <w:pPr>
        <w:pStyle w:val="Heading2"/>
      </w:pPr>
      <w:r>
        <w:t>Erwägungen</w:t>
      </w:r>
    </w:p>
    <w:p>
      <w:r>
        <w:rPr>
          <w:b/>
        </w:rPr>
        <w:t>E. 1.1</w:t>
      </w:r>
    </w:p>
    <w:p>
      <w:r>
        <w:t>Das Bundesgericht prüft seine Zuständigkeit bzw. die Zulässigkeit des Rechtsmittels von Amtes wegen ( Art. 29 Abs. 1 BGG ) und mit freier Kognition ( BGE 138 III 471 E.1 S. 475; 137 III 417 E. 1). Zu den allgemeinen Eintretensvoraussetzungen in einem vergleichbaren Fall kann auf die bisherige Rechtsprechung verwiesen werden (Urteile 2A.53/2006 ff. vom 19. Juni 2007 E. 1-4, auszugsweise publ. in BGE 133 II 263 ; nun auch Urteil 2C_146/2012 vom 20. August 2012 E. 1), wenngleich es hier lediglich um die Frage der aufschiebenden Wirkung geht.</w:t>
      </w:r>
    </w:p>
    <w:p>
      <w:r>
        <w:rPr>
          <w:b/>
        </w:rPr>
        <w:t>E. 1.2</w:t>
      </w:r>
    </w:p>
    <w:p>
      <w:r>
        <w:t>Beim Massnahmeentscheid, der vor oder während eines Hauptverfahrens erlassen wurde und nur für die Dauer des Hauptverfahrens Bestand hat, handelt es sich bezüglich der Anfechtung vor Bundesgericht um einen Zwischenentscheid ( BGE 138 III 46 E. 1.1; 76 E. 1.2 S. 79; 137 III 324 E. 1.1 S. 328 ; 134 I 83 E. 3.1 S. 86 f.). Im Vordergrund steht Art. 93 Abs. 1 lit. a BGG , soweit der Entscheid geeignet ist, einen nicht wieder gutzumachenden Nachteil rechtlicher Natur zu bewirken ( BGE 137 III 380 E. 1.2.1 S. 382; 136 IV 92 E. 4 S. 95). Irreparabel ist der Nachteil, soweit selbst ein für die Verwertungsgesellschaften günstiger Endentscheid in der Hauptsache den durch den Zwischenentscheid bewirkten Nachteil nicht vollständig zu beseitigen vermöchte ( BGE 137 III 522 E. 1.3 S. 525).</w:t>
      </w:r>
    </w:p>
    <w:p>
      <w:r>
        <w:rPr>
          <w:b/>
        </w:rPr>
        <w:t>E. 1.3</w:t>
      </w:r>
    </w:p>
    <w:p>
      <w:r>
        <w:t>Mit der Beschwerde gegen Entscheide über vorsorgliche Massnahmen kann nur die Verletzung verfassungsmässiger Rechte gerügt werden ( Art. 98 BGG ), wobei die Beschwerdeführer eine qualifizierte Begründungspflicht trifft ( Art. 106 Abs. 2 BGG ). Praxisgemäss wird verlangt, dass die Verfassungsverletzung "klar und detailliert anhand der Erwägungen des angefochtenen Entscheids" dargelegt wird. Auf rein appellatorische Kritik am angefochtenen Entscheid tritt das Bundesgericht nicht ein ( BGE 136 II 489 E. 2.8 S. 494; Urteil 2C_774/2011 vom 3. Januar 2012 E. 1.2 mit Hinweisen).</w:t>
      </w:r>
    </w:p>
    <w:p>
      <w:r>
        <w:rPr>
          <w:b/>
        </w:rPr>
        <w:t>E. 2.1</w:t>
      </w:r>
    </w:p>
    <w:p>
      <w:r>
        <w:t>Wer Leerdatenträger herstellt oder importiert, die zur Aufnahme von Werken geeignet sind, schuldet gemäss Art. 20 Abs. 3 des Bundesgesetzes vom 9. Oktober 1992 über das Urheberrecht und verwandte Schutzrechte (URG; SR 231.1) dem Urheber oder der Urheberin für die Werkverwendungen eine Vergütung. Werden mithin in dieser Norm Subjekt, Objekt und grundsätzlich die Bemessungsgrundlage der Vergütung umschrieben, ergibt sich deren Höhe erst aufgrund individueller ( Art. 46 Abs. 1 URG ) oder gemeinsamer Tarife der Verwertungsgesellschaften ( Art. 47 Abs. 1 URG ). Sie alle sind der ESchK zur Genehmigung vorzulegen (Art. 46 Abs. 3 i.V.m. Art. 55 Abs. 1 URG ).</w:t>
      </w:r>
    </w:p>
    <w:p>
      <w:r>
        <w:rPr>
          <w:b/>
        </w:rPr>
        <w:t>E. 2.2</w:t>
      </w:r>
    </w:p>
    <w:p>
      <w:r>
        <w:t>Der Rechtsanspruch auf Vergütung besteht damit von Gesetzes wegen. Die Ausgestaltung des gemeinsamen Tarifs 4e [2010-2011] und mithin auch der Bezug der Vergütung, die unter Vorbehalt des Tarifs im Gesetz geregelt ist, bildet Gegenstand des Hauptsacheverfahrens. Diese Frage hat Auswirkungen auf den Zeitpunkt der Inkraftsetzung des allenfalls modifizierten Tarifs, was hier aber nicht weiter zu vertiefen ist. Denn der Endentscheid der Vorinstanz wird auch in Bezug auf den Zeitpunkt des Inkrafttretens des Tarifs beim Bundesgericht angefochten werden können. Ein allfälliger Rechtsnachteil wird somit vom Bundesgericht korrigiert werden können. Soweit die Beschwerdeführerinnen einen Nachteil darin sehen, dass das Delkredere-Risiko mit der Zeit ansteigt, so handelt es sich dabei grundsätzlich um einen rein faktischen Nachteil. Hinzu kommt, dass die Geltungsperiode des streitigen Tarifs (Juli 2010-Dezember 2011) bereits abgelaufen ist, so dass der Schaden inzwischen nicht mehr weiter anwächst.</w:t>
      </w:r>
    </w:p>
    <w:p>
      <w:r>
        <w:rPr>
          <w:b/>
        </w:rPr>
        <w:t>E. 2.3</w:t>
      </w:r>
    </w:p>
    <w:p>
      <w:r>
        <w:t>Auch wenn die Suspendierung des Gemeinsamen Tarifs 4e [2010-2011] als nicht wieder gutzumachender Nachteil rechtlicher Natur zu betrachten wäre, hätte die Beschwerde den Anforderungen von Art. 98 in Verbindung mit Art. 106 Abs. 2 BGG zu genügen (E 1.3). Eine klare und detaillierte Darstellung der Verfassungsverletzungen anhand der Erwägungen des angefochtenen Entscheids ist freilich nicht ersichtlich. In Bezug auf die von den Beschwerdeführerinnen gerügte Verletzung des rechtlichen Gehörs ist zu bemerken, dass Art. 29 Abs 2 BV bei Entscheiden über die aufschiebende Wirkung wegen der damit verbundenen zeitlichen Dringlichkeit nicht die gleiche Tragweite hat wie bei Sachentscheiden (Urteil 2C_631/2010 vom 8. September 2010 E. 3.2), zumal die vorsorgliche Anordnung jederzeit auch wieder geändert werden kann. Die heutigen Beschwerdeführerinnen konnten sich im vorinstanzlichen Verfahren zum Gesuch um aufschiebende Wirkung der heutigen Beschwerdegegnerinnen 1 und 2 äussern; die entsprechenden Gesuche der heutigen Beschwerdegegner 3 und 4 betrafen den gleichen Streitgegenstand: Die Beschwerdeführerinnen legen nicht dar, dass und inwiefern die Äusserungsmöglichkeit zu den Gesuchen der Beschwerdegegnerinnen 1 und 2 nicht auch die gleichgerichteten anderen Gesuche abdeckte.</w:t>
      </w:r>
    </w:p>
    <w:p>
      <w:r>
        <w:t>Soweit die Beschwerdeführerinnen die willkürliche Annahme einer Rückwirkung rügen, ist darauf hinzuweisen, dass diese Frage im Endentscheid zu beantworten sein wird (E. 2.2), so dass insoweit keine Willkür in Bezug auf die aufschiebende Wirkung dargetan ist.</w:t>
      </w:r>
    </w:p>
    <w:p>
      <w:r>
        <w:t>Wenn die Verwertungsgesellschaften schliesslich in den vorinstanzlichen Erwägungen zur Inkraftsetzung des neuen Tarifs bzw. zum Charakter der aufschiebenden Wirkung in Urheberrechtssachen ( Art. 74 Abs. 2 URG ) glauben Willkür erkennen zu können, fehlt es wiederum an einer hinreichenden Darstellung der Verfassungsverletzung. Für die Annahme von Willkür reicht es ohnehin nicht aus, dass eine andere Lösung ebenfalls als vertretbar oder gar zutreffender erscheint (statt vieler BGE 137 I 1 E. 2.4 S. 5).</w:t>
      </w:r>
    </w:p>
    <w:p>
      <w:r>
        <w:rPr>
          <w:b/>
        </w:rPr>
        <w:t>E. 3.1</w:t>
      </w:r>
    </w:p>
    <w:p>
      <w:r>
        <w:t>Fehlt es an der hinreichenden Rüge der Verfassungsverletzung, ist nach einer solchen nicht von Amtes wegen zu forschen ( BGE 136 II 489 E. 2.8 S. 494; 135 II 145 E. 8.1 S. 153; 134 II 244 E. 2.2 S. 246) und es ist auf die Beschwerde in öffentlich-rechtlichen Angelegenheiten nicht einzutreten ( BGE 134 II 244 E. 2.1 S. 245 f.; Urteil 2C_774/2011 vom 3. Januar 2012 E. 2.3).</w:t>
      </w:r>
    </w:p>
    <w:p>
      <w:r>
        <w:rPr>
          <w:b/>
        </w:rPr>
        <w:t>E. 3.2</w:t>
      </w:r>
    </w:p>
    <w:p>
      <w:r>
        <w:t>Soweit die Verwertungsgesellschaften verlangen, den Nutzungsorganisationen sei die Einsicht in die "Liste der bis heute ermittelten Importeure" zu verweigern, wird dieser Antrag aufgrund des Nichteintretens auf die Beschwerde gegenstandslos.</w:t>
      </w:r>
    </w:p>
    <w:p>
      <w:r>
        <w:rPr>
          <w:b/>
        </w:rPr>
        <w:t>E. 3.3</w:t>
      </w:r>
    </w:p>
    <w:p>
      <w:r>
        <w:t>Dem Ausgang des Verfahrens entsprechend werden die mit ihrer Beschwerde unterliegenden Verwertungsgesellschaften kostenpflichtig ( Art. 66 Abs. 1 Satz 1 BGG ); sie haben die Nutzungsorganisationen für deren Aufwand vor Bundesgericht zudem angemessen zu entschädigen ( Art. 68 Abs. 1 BGG ; Urteil 2C_658/2008 vom 18. März 2009 E. 3.3, nicht publ. in BGE 135 II 172 ). In beiden Fällen besteht solidarische Haftbarkeit der Verwertungsgesellschaften ( Art. 66 Abs. 5 BGG bzw.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