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2C_593/2022 vom 2. August 2022</w:t>
      </w:r>
    </w:p>
    <w:p>
      <w:r>
        <w:t>Bundesgericht, 2022-08-02, FR</w:t>
      </w:r>
    </w:p>
    <w:p>
      <w:r>
        <w:rPr>
          <w:b/>
        </w:rPr>
        <w:t xml:space="preserve">Quelle: </w:t>
      </w:r>
      <w:r>
        <w:t>https://mcp.opencaselaw.ch/entscheid/bger_2C_593_2022</w:t>
      </w:r>
    </w:p>
    <w:p>
      <w:r>
        <w:t>FR: TF 2C_593/2022 du 2 août 2022</w:t>
      </w:r>
    </w:p>
    <w:p>
      <w:r>
        <w:t>IT: TF 2C_593/2022 del 2 agosto 2022</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E.________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t>A la suite de cet arrêt, l'Administration fédérale a repris le traitement des procédures qui avaient été suspendues jusqu'à droit connu sur la position du Tribunal fédéral. En date du 30 septembre 2016, elle a transmis l'intégralité des pièces du dossier concernant A.________, décédé le 3 avril 2014, aux membres de l'hoirie de ce dernier, à savoir sa veuve, B.________, et leurs deux fils, C.________ et D.________. Le 3 avril 2020, B.________ est décédée et ses deux fils ont hérité de ses biens, y compris ceux qu'elle avait hérité de son époux.</w:t>
      </w:r>
    </w:p>
    <w:p>
      <w:r>
        <w:rPr>
          <w:b/>
        </w:rPr>
        <w:t>E. 1.4</w:t>
      </w:r>
    </w:p>
    <w:p>
      <w:r>
        <w:t>Par décision finale du 22 octobre 2020 notifiée à B.________ et à ses deux fils, l'Administration fédérale a accordé l'assistance administrative à l'autorité française.</w:t>
      </w:r>
    </w:p>
    <w:p>
      <w:r>
        <w:t>C.________ et D.________ ont recouru contre cette décision auprès du Tribunal administratif fédéral. Ils ont conclu principalement à l'annulation de la décision finale du 22 octobre 2020 et à l'irrecevabilité de la demande d'assistance administrative du 11 mai 2016. Subsidiairement, ils ont conclu au rejet de ladite demande et, plus subsidiairement, au renvoi de la cause à l'Administration fédérale pour nouvelle décision.</w:t>
      </w:r>
    </w:p>
    <w:p>
      <w:r>
        <w:t>Par arrêt du 7 juillet 2022, le Tribunal administratif fédéral a rejeté le recours formé par C.________ et D.________ contre cette décision.</w:t>
      </w:r>
    </w:p>
    <w:p>
      <w:r>
        <w:rPr>
          <w:b/>
        </w:rPr>
        <w:t>E. 1.5</w:t>
      </w:r>
    </w:p>
    <w:p>
      <w:r>
        <w:t>A l'encontre de cet arrêt, C.________ et D.________ forment un recours en matière de droit public au Tribunal fédéral. Sous suite de frais et dépens, ils concluent, principalement, à son annulation et à l'irrecevabilité de la demande d'assistance administrative du 11 mai 2016, respectivement au rejet de ladite demande. Subsidiairement, ils demandent l'annulation de l'arrêt du Tribunal administratif fédéral et le renvoi de la cause à cette autorité pour nouvelle décision. Au préalable, ils demandent que l'effet suspensif soit accordé au recours.</w:t>
      </w:r>
    </w:p>
    <w:p>
      <w:r>
        <w:t>Il n'a pas été ordonné d'échange d'écritures.</w:t>
      </w:r>
    </w:p>
    <w:p>
      <w:r>
        <w:rPr>
          <w:b/>
        </w:rPr>
        <w:t>E. 2.1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arrêts 2C_289/2015 du 5 avril 2016 consid. 1.2.1 non publié in ATF 142 II 218 ; 2C_54/2014 du 2 juin 2014 consid. 1.1, in StE 2014 A 31.4. Nr. 20).</w:t>
      </w:r>
    </w:p>
    <w:p>
      <w:r>
        <w:t>Conformément à l' art. 84 al. 2 LTF , applicable par renvoi de l' art. 84a LTF , un cas est particulièrement important notamment lorsqu'il y a des raisons de supposer que la procédure à l'étranger viole des principes fondamentaux ou comporte d'autres vices graves. Selon la formulation expresse de cette disposition (" notamment "),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w:t>
      </w:r>
    </w:p>
    <w:p>
      <w:r>
        <w:t>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2C_505/2022 du 30 juin 2022 consid. 2.3).</w:t>
      </w:r>
    </w:p>
    <w:p>
      <w:r>
        <w:t>Il appartient au recourant de démontrer de manière suffisante en quoi les conditions de recevabilité de l' art. 84a LTF sont remplies ( art. 42 al. 2 LTF ; ATF 145 IV 99 consid. 1.5; 139 II 340 consid. 4; 404 consid. 1.3), à moins que tel ne soit manifestement le cas ( ATF 146 II 150 consid. 1.2.1; 139 II 340 consid. 4; 404 consid. 1.3).</w:t>
      </w:r>
    </w:p>
    <w:p>
      <w:r>
        <w:rPr>
          <w:b/>
        </w:rPr>
        <w:t>E. 2.2</w:t>
      </w:r>
    </w:p>
    <w:p>
      <w:r>
        <w:t>En l'espèce, les recourants soutiennent d'abord que la présente cause est particulièrement importante au sens de l' art. 84a LTF , compte tenu du nombre élevé de personnes visées et des montants en jeu. Ils se réfèrent à l'arrêt rendu par le Tribunal fédéral dans la cause 2C_653/2018, dans lequel la Cour de céans est entrée en matière sur le recours formé devant elle par l'AFC, car la cause concernant un très grand nombre de personnes, elle avait été considérée comme particulièrement importante (arrêt 2C_653/2018 précité, consid. 1.2.3).</w:t>
      </w:r>
    </w:p>
    <w:p>
      <w:r>
        <w:t>Le fait qu'une demande d'assistance administrative concerne un nombre important de personnes peut impliquer que l'on se trouve en présence d'un cas particulièrement important au sens de l' art. 84a LTF . Toutefois, et comme le Tribunal fédéral a déjà eu l'occasion de le relever, le fait qu'une cause puisse se révéler de par son ampleur particulièrement importante pour l'Administration fédérale ne signifie pas qu'elle le soit aussi pour chaque personne concernée. Ainsi, s'agissant de la demande d'assistance administrative du 11 mai 2016, objet de la présente procédure, le Tribunal fédéral a indiqué que ce n'est pas parce qu'il est entré en matière sur cette cause que, par la suite, il devrait se prononcer sur tous les recours déposés, dans ce même contexte et à titre individuel, par les nombreuses personnes identifiées au moyen des numéros de compte fournis par l'autorité française et indépendamment de l'existence d'une question juridique de principe. En effet, ouvrir la voie du recours pour le seul motif que d'autres contribuables pourraient être dans la même situation reviendrait à faire perdre tout sens aux limitations prévues à l' art. 84a LTF . Il a partant déclaré irrecevables les recours déposés dans ces causes (cf. arrêts 2C_1048/2021 du 7 janvier 2022 consid. 2.4.1; 2C_316/2021, 2C_319/2021 et 2C_320/2021 du 30 avril 2021 consid. 5.1). Le cas d'espèce ne se distingue pas de ces affaires. Il n'y a donc pas de motif d'adopter une approche différente ici.</w:t>
      </w:r>
    </w:p>
    <w:p>
      <w:r>
        <w:rPr>
          <w:b/>
        </w:rPr>
        <w:t>E. 2.3</w:t>
      </w:r>
    </w:p>
    <w:p>
      <w:r>
        <w:t>Les recourants soutiennent ensuite que la présente cause soulève la question juridique de principe de savoir " s'il peut être fait droit à une procédure d'entraide administrative en matière fiscale dont il est établi qu'elle trouve son fondement dans l'achat de données volées, partant illégal ". Ils expliquent que la demande d'assistance administrative du 11 mai 2016 se fonde sur des documents obtenus lors de perquisitions qui n'auraient pas pu avoir lieu sans que des renseignements aient été obtenus par des actes punissables en violation du droit suisse, au sens de l' art. 7 let . c LAAF.</w:t>
      </w:r>
    </w:p>
    <w:p>
      <w:r>
        <w:t>Le Tribunal fédéral s'est déjà prononcé sur les conditions d'application de l' art. 7 let . c LAAF en lien avec des renseignements obtenus par des actes punissables en violation du droit suisse (données dites " volées "). Il a retenu qu'hormis le cas où l'Etat requérant aurait lui-même acheté des données bancaires, le point de savoir s 'il se comporte de mauvaise foi à l'égard de la Suisse en présentant une demande en lien avec des données volées en Suisse (cf. art. 7 let . c LAAF) doit s'examiner en fonction de chaque cas d'espèce (cf. ATF 143 II 224 consid. 6.4, plus spécifiquement 6.5-6.7). En l'occurrence, il ressort des faits constatés dans l'arrêt attaqué que les listes de données à la base de la demande d'assistance du 11 mai 2016 ont été saisies dans le cadre d'une enquête diligentée par le parquet de Bochum auprès des succursales allemandes de la banque UBS et transmises à la France à sa demande, en application de la Directive 2011/16/UE. Dans ce contexte, le Tribunal fédéral a déjà constaté que l'autorité requérante avait obtenu des informations issues d'une perquisition menée par les autorités allemandes par une procédure légale (cf. aussi arrêts 2C_435/2021 du 2 juin 2021 consid. 3.2 et 2C_320/2021 du 30 avril 2021 consid. 4.2). La question soulevée ne se pose donc pas.</w:t>
      </w:r>
    </w:p>
    <w:p>
      <w:r>
        <w:rPr>
          <w:b/>
        </w:rPr>
        <w:t>E. 3</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d'effet suspensif, à supposer que les recourants aient eu un intérêt à demander son octroi, puisque l'effet suspensif est prévu à l' art. 103 al. 2 let . d LTF (arrêts 2C_232/2022 du 5 avril 2022 consid. 3; 2C_57/2022 du 24 janvier 2022 consid. 4).</w:t>
      </w:r>
    </w:p>
    <w:p>
      <w:r>
        <w:rPr>
          <w:b/>
        </w:rPr>
        <w:t>E. 4</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