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2C_593/2020 vom 16. Juli 2020</w:t>
      </w:r>
    </w:p>
    <w:p>
      <w:r>
        <w:t>Bundesgericht, 2020-07-16, IT</w:t>
      </w:r>
    </w:p>
    <w:p>
      <w:r>
        <w:rPr>
          <w:b/>
        </w:rPr>
        <w:t xml:space="preserve">Quelle: </w:t>
      </w:r>
      <w:r>
        <w:t>https://mcp.opencaselaw.ch/entscheid/bger_2C_593_2020</w:t>
      </w:r>
    </w:p>
    <w:p>
      <w:r>
        <w:t>FR: TF 2C_593/2020 du 16 juillet 2020</w:t>
      </w:r>
    </w:p>
    <w:p>
      <w:r>
        <w:t>IT: TF 2C_593/2020 del 16 luglio 2020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DTF 143 III 416 consid. 1 pag. 417 e rinvii).</w:t>
      </w:r>
    </w:p>
    <w:p>
      <w:r>
        <w:rPr>
          <w:b/>
        </w:rPr>
        <w:t>E. 2.1</w:t>
      </w:r>
    </w:p>
    <w:p>
      <w:r>
        <w:t>In materia di allontanamento dalla Svizzera la via del ricorso in materia di diritto pubblico è esclusa (art. 83 lett. c cifra 4 LTF). Rimane quindi da vagliare se il gravame possa essere trattato quale ricorso sussidiario in materia costituzionale ( art. 113 LTF ).</w:t>
      </w:r>
    </w:p>
    <w:p>
      <w:r>
        <w:rPr>
          <w:b/>
        </w:rPr>
        <w:t>E. 2.2</w:t>
      </w:r>
    </w:p>
    <w:p>
      <w:r>
        <w:t>Lasciata indecisa la questione, più che dubbia, di sapere se il qui ricorrente sia legittimato a proporre tale rimedio ( art. 115 LTF ), va rammentato che, con il ricorso sussidiario in materia costituzionale, è possibile censurare unicamente la lesione di diritti costituzionali ( art. 116 LTF ), il cui rispetto non è esaminato d'ufficio, ma solo se la parte ricorrente solleva e motiva le sue contestazioni ( art. 106 cpv. 2 LTF in relazione con l' art. 117 LTF ). In altre parole, essa deve indicare i diritti costituzionali ritenuti violati e spiegare, con un'argomentazione puntuale e precisa riferita alla sentenza impugnata, in cosa consista la pretesa violazione ( DTF 143 II 283 consid. 1.2.2 pag. 286; 142 III 364 consid. 2.4 pag. 368). Ora, tali requisiti non sono soddisfatti nella fattispecie, poiché invano si cerca nel ricorso una qualsiasi censura riferita alla sentenza impugnata con cui viene fatta valere la violazione di un diritto costituzionale. Anche trattato quale ricorso sussidiario, il gravame sfugge ad un esame di merito.</w:t>
      </w:r>
    </w:p>
    <w:p>
      <w:r>
        <w:rPr>
          <w:b/>
        </w:rPr>
        <w:t>E. 2.3</w:t>
      </w:r>
    </w:p>
    <w:p>
      <w:r>
        <w:t>Per quanto precede, l'impugnativa è manifestamente inammissibile e va decisa secondo la procedura prevista dall' art. 108 LTF .</w:t>
      </w:r>
    </w:p>
    <w:p>
      <w:r>
        <w:rPr>
          <w:b/>
        </w:rPr>
        <w:t>E. 3.1</w:t>
      </w:r>
    </w:p>
    <w:p>
      <w:r>
        <w:t>Con l'emanazione del presente giudizio, la richiesta di concessione dell'effetto sospensivo diviene priva d'oggetto.</w:t>
      </w:r>
    </w:p>
    <w:p>
      <w:r>
        <w:rPr>
          <w:b/>
        </w:rPr>
        <w:t>E. 3.2</w:t>
      </w:r>
    </w:p>
    <w:p>
      <w:r>
        <w:t>La domanda di assistenza giudiziaria non può essere accolta, atteso che le conclusioni del ricorrente erano sin dall'inizio prive di probabilità di successo ( art. 64 cpv. 1 LTF ). Viste le circostanze, il Tribunale federale rinuncia a prelevare spese (art. 66 cpv. 1 seconda frase LTF). Non vengono accordate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