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593/2018 vom 5. Juni 2018</w:t>
      </w:r>
    </w:p>
    <w:p>
      <w:r>
        <w:t>Bundesgericht, 2018-06-05, IT</w:t>
      </w:r>
    </w:p>
    <w:p>
      <w:r>
        <w:rPr>
          <w:b/>
        </w:rPr>
        <w:t xml:space="preserve">Quelle: </w:t>
      </w:r>
      <w:r>
        <w:t>https://mcp.opencaselaw.ch/entscheid/bger_2C_593_2018</w:t>
      </w:r>
    </w:p>
    <w:p>
      <w:r>
        <w:t>FR: TF 2C 593/2018 du 5 juin 2018</w:t>
      </w:r>
    </w:p>
    <w:p>
      <w:r>
        <w:t>IT: TF 2C 593/2018 del 5 giugno 2018</w:t>
      </w:r>
    </w:p>
    <w:p>
      <w:pPr>
        <w:pStyle w:val="Heading2"/>
      </w:pPr>
      <w:r>
        <w:t>Regeste</w:t>
      </w:r>
    </w:p>
    <w:p>
      <w:r>
        <w:t>Divieto d'entrata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II Tribunale federale esamina d'ufficio, con piena cognizione, la sua competenza ( art. 29 cpv. 1 LTF ) e l'ammissibilità dei gravami che gli vengono sottoposti ( DTF 139 V 42 consid. 1 pag. 44; 138 I 367 consid. 1 pag. 369). Se non è manifesta, la dimostrazione dell'esistenza delle condizioni di ammissibilità incombe però a chi insorge ( art. 42 cpv. 2 LTF ; DTF 133 II 353 consid. 1 pag. 356).</w:t>
      </w:r>
    </w:p>
    <w:p>
      <w:r>
        <w:rPr>
          <w:b/>
        </w:rPr>
        <w:t>E. 1.2</w:t>
      </w:r>
    </w:p>
    <w:p>
      <w:r>
        <w:t>L'impugnativa è stata presentata contro una decisione del Tribunale amministrativo federale in una causa di diritto pubblico; va quindi esaminato se sia ricevibile quale ricorso ordinario in materia di diritto pubblico. La facoltà di interporre ricorso sussidiario in materia costituzionale non è infatti data ( art. 113 LTF ).</w:t>
      </w:r>
    </w:p>
    <w:p>
      <w:r>
        <w:rPr>
          <w:b/>
        </w:rPr>
        <w:t>E. 2.1</w:t>
      </w:r>
    </w:p>
    <w:p>
      <w:r>
        <w:t>Giusta l'art. 83 lett. c cifra 1 LTF, il ricorso in materia di diritto pubblico è inammissibile contro le decisioni in ambito di diritto degli stranieri concernenti l'entrata in Svizzera; questo motivo d'esclusione non si applica se il gravame è stato inoltrato da una persona che può prevalersi dell'ALC ( DTF 131 II 352 consid. 1.2 pag. 354 seg.; sentenza 2C_110/2012 del 26 aprile 2012 consid. 1.1).</w:t>
      </w:r>
    </w:p>
    <w:p>
      <w:r>
        <w:rPr>
          <w:b/>
        </w:rPr>
        <w:t>E. 2.2</w:t>
      </w:r>
    </w:p>
    <w:p>
      <w:r>
        <w:t>Come detto, il Tribunale amministrativo federale è giunto alla conclusione che il ricorrente non potesse riferirsi all'ALC. Ha in effetti rilevato che sia lui sia sua moglie sia sua figlia hanno la sola cittadinanza dominicana e che il richiamo al precedente matrimonio con una cittadina italo-dominicana è anch'esso escluso.</w:t>
      </w:r>
    </w:p>
    <w:p>
      <w:r>
        <w:rPr>
          <w:b/>
        </w:rPr>
        <w:t>E. 2.3</w:t>
      </w:r>
    </w:p>
    <w:p>
      <w:r>
        <w:t>Ricorrendo davanti a questa Corte, l'insorgente non si avvede dell'art. 83 lett. c cifra 1 LTF. Nel contempo, si limita genericamente a denunciare violazioni "dei disposti dell'ALC" senza addurre spiegazione alcuna. Ritenuto che le considerazioni che hanno condotto l'istanza precedente ad escludere l'applicazione dell'ALC vanno condivise e che il ricorrente non fornisce nessun argomento che possa condurre ad altra conclusione, occorre pertanto constatare che il motivo d'esclusione previsto dall'art. 83 lett. c cifra 1 LTF trova applicazione anche alla fattispecie.</w:t>
      </w:r>
    </w:p>
    <w:p>
      <w:r>
        <w:rPr>
          <w:b/>
        </w:rPr>
        <w:t>E. 3</w:t>
      </w:r>
    </w:p>
    <w:p>
      <w:r>
        <w:t>Per quanto precede, il ricorso è manifestamente inammissibile e va deciso secondo la procedura prevista dall' art. 108 LTF . L'istanza di assistenza giudiziaria non può essere accolta in quanto esso doveva apparire sin dall'inizio privo di probabilità di successo ( art. 64 cpv. 1 LTF ). Le spese seguono quindi la soccombenza ( art. 65 e 66 cpv. 1 LTF ). Con l'emanazione del presente giudizio, la richiesta di concessione dell'effetto sospensivo diviene priva d'oggetto.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