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591/2010 vom 15. März 2011</w:t>
      </w:r>
    </w:p>
    <w:p>
      <w:r>
        <w:t>Bundesgericht, 2011-03-15, DE</w:t>
      </w:r>
    </w:p>
    <w:p>
      <w:r>
        <w:rPr>
          <w:b/>
        </w:rPr>
        <w:t xml:space="preserve">Quelle: </w:t>
      </w:r>
      <w:r>
        <w:t>https://mcp.opencaselaw.ch/entscheid/bger_2C_591_2010</w:t>
      </w:r>
    </w:p>
    <w:p>
      <w:r>
        <w:t>FR: TF 2C 591/2010 du 15 mars 2011</w:t>
      </w:r>
    </w:p>
    <w:p>
      <w:r>
        <w:t>IT: TF 2C 591/2010 del 15 marzo 2011</w:t>
      </w:r>
    </w:p>
    <w:p>
      <w:pPr>
        <w:pStyle w:val="Heading2"/>
      </w:pPr>
      <w:r>
        <w:t>Regeste</w:t>
      </w:r>
    </w:p>
    <w:p>
      <w:r>
        <w:t>Entzug der Zulassung als Revisionsexperte | Grundrecht</w:t>
      </w:r>
    </w:p>
    <w:p>
      <w:pPr>
        <w:pStyle w:val="Heading2"/>
      </w:pPr>
      <w:r>
        <w:t>Erwägungen</w:t>
      </w:r>
    </w:p>
    <w:p>
      <w:r>
        <w:rPr>
          <w:b/>
        </w:rPr>
        <w:t>E. 1</w:t>
      </w:r>
    </w:p>
    <w:p>
      <w:r>
        <w:t>Das angefochtene Urteil, ein Endentscheid des Bundesverwaltungsgerichts ( Art. 86 Abs. 1 lit.a, Art. 90 BGG ), stützt sich auf das Bundesgesetz vom 16. Dezember 2005 über die Zulassung und Beaufsichtigung der Revisorinnen und Revisoren (Revisionsaufsichtsgesetz, RAG; SR 221.302) und die zugehörige Verordnung vom 22. August 2007 (Revisionsaufsichtsverordnung, RAV; SR 221.302.3). Die genannten Erlasse regeln die Zulassung und die Beaufsichtigung von Personen, die Revisionsdienstleistungen erbringen, mithin also eine Angelegenheit des öffentlichen Rechts im Sinne von Art. 82 lit. a BGG . Allerdings ist gemäss Art. 83 lit. t BGG die Beschwerde in öffentlich-rechtlichen Angelegenheiten gegen Entscheide ausgeschlossen, welche die Beurteilung geistiger oder körperlicher Fähigkeiten zum Gegenstand haben. Die Bundesbehörden stützen ihren Entscheid über den Entzug der Zulassung als Revisionsexperte darauf, dass sie dem Beschwerdeführer - im Rahmen ihrer Aufsicht - den unbescholtenen Leumund und damit seine Vertrauenswürdigkeit absprechen (vgl. Art. 4 Abs. 1 RAG , Urteil 2C_58/2008 vom 14. April 2008, E. 2.1). Dem angefochtenen Entscheid liegt somit nicht eine Bewertung seiner geistigen oder körperlichen Fähigkeiten zugrunde, so dass der erwähnte Ausschlussgrund keine Anwendung findet (vgl. Urteile 2C_655/2009 vom 23. März 2010, E. 1, und 2C_191/2008 vom 24. Juni 2008, E. 1). Die Beschwerde in öffentlich-rechtlichen Angelegenheiten ist demnach zulässig. Von Vornherein nicht eingetreten werden kann aber auf das Rechtsmittel, soweit damit die Aufhebung der Verfügung der Eidgenössischen Revisionsaufsichtsbehörde verlangt wird (Devolutiveffekt, vgl. BGE 134 II 142 E. 1.4 S. 144).</w:t>
      </w:r>
    </w:p>
    <w:p>
      <w:r>
        <w:rPr>
          <w:b/>
        </w:rPr>
        <w:t>E. 2.1</w:t>
      </w:r>
    </w:p>
    <w:p>
      <w:r>
        <w:t>Nach Art. 42 Abs. 2 BGG ist in der Begründung in gedrängter Form darzulegen, inwiefern der angefochtene Akt Recht verletzt. Appellatorische Kritik und die blosse Gegenüberstellung der eigenen Sichtweise genügen grundsätzlich nicht (vgl. BGE 133 II 249 E. 1.4.2 S. 254). Dabei muss die Begründung in der Rechtsmitteleingabe selbst enthalten sein; Verweise auf andere Rechtsschriften, insbesondere auf solche, die im vorinstanzlichen Verfahren eingereicht wurden, genügen nicht und sind unbeachtlich (vgl. BGE 133 II 396 E. 3.2 S. 400, 130 I 290 E. 4.10 S. 302). Soweit die vorliegende Beschwerde diesen Anforderungen nicht genügt und sich in appellatorischer Kritik erschöpft bzw. darin Eingaben an Vorinstanzen zum "integrierenden Bestandteil" erklärt werden, ist darauf nicht einzutreten.</w:t>
      </w:r>
    </w:p>
    <w:p>
      <w:r>
        <w:rPr>
          <w:b/>
        </w:rPr>
        <w:t>E. 2.2</w:t>
      </w:r>
    </w:p>
    <w:p>
      <w:r>
        <w:t>Das Bundesgericht legt sodann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3.1</w:t>
      </w:r>
    </w:p>
    <w:p>
      <w:r>
        <w:t>Die vorab erhobene Rüge des Beschwerdeführers, die Vorinstanzen hätten die Begründungspflicht verletzt, ist unbegründet: Aus dem Anspruch auf rechtliches Gehör nach Art. 29 Abs. 2 BV folgt zwar in der Tat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133 I 270 E. 3.1 S. 277 mit Hinweisen). Diesen Anforderungen genügen die vorinstanzlichen Entscheide. Das Bundesverwaltungsgericht war nicht gehalten, sämtliche Eingaben und Argumente des Beschwerdeführers im Detail wiederzugeben; es hat sich mit den vorgetragenen Einwänden hinreichend auseinandergesetzt, und es bestand für das Gericht - anders, als es der Beschwerdeführer angestrebt hatte - auch keine Verpflichtung, die im Zivilverfahren "Z.________" vor dem Kantonsgericht Basel-Landschaft - worin die Y.________ AG mit rechtskräftigem Urteil vom 17. August 2007 zu einer Schadenersatzleistung von rund Fr. 4,16 Mio. aus Verantwortlichkeit verurteilt worden war - vorgebrachten Einwände erneut zu prüfen.</w:t>
      </w:r>
    </w:p>
    <w:p>
      <w:r>
        <w:rPr>
          <w:b/>
        </w:rPr>
        <w:t>E. 3.2</w:t>
      </w:r>
    </w:p>
    <w:p>
      <w:r>
        <w:t>Der Beschwerdeführer rügt, die Behörden hätten in unzulässiger Weise von einer persönlichen Einvernahme seiner selbst sowie von Dr. E.________ (Liquidator im Verfahren "Z.________") abgesehen und auf diese Weise seinen Anspruch auf rechtliches Gehör verletzt.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136 I 229 E. 5.3 S. 236 f. mit Hinweisen). Art. 29 Abs. 2 BV vermittelt sodann nicht zwingend das Recht, mündlich angehört zu werden. Eine mündliche Äusserungsmöglichkeit kann geboten sein wegen persönlicher Umstände, die sich nur aufgrund einer mündlichen Anhörung klären lassen (vgl. Gerold Steinmann, in: Kommentar BV, 2. Auflage 2008, Rz. 25 zu Art. 29 Abs. 2 BV ) bzw. wenn sich eine solche Anhörung für den zu fällenden Entscheid als unerlässlich erweist ( BGE 122 II 464 E. 4 S. 469 f.). Das Bundesverwaltungsgericht hat im angefochtenen Entscheid (E. 5) eingehend dargelegt, weshalb auf eine persönliche Anhörung des Beschwerdeführers und auf die beantragte Zeugeneinvernahme verzichtet worden ist. Hiegegen dringt der Beschwerdeführer nicht durch: Einerseits war für die Beurteilung der Frage, ob der Beschwerdeführer (noch) über einen unbescholtenen Leumund verfügt, dessen persönliche Anhörung nicht notwendig. Dass für das Gericht andererseits kein Anlass bestand, eine in das rechtskräftig abgeschlossene Zivilverfahren "Z.________" involvierte Person zu befragen, erscheint nachvollziehbar und im Sinne einer vorweggenommenen Beweiswürdigung nicht willkürlich. Das Ansinnen des Beschwerdeführers, mit den beantragten Anhörungen ein "Gegengewicht zum schwarz-weiss Bild des Zivilurteil(s) im Fall 'Z.________' zu schaffen", ändert an dieser Beurteilung nichts. Soweit der Beschwerdeführer seine Anträge auf persönliche Anhörung auf das bundesgerichtliche Verfahren bezieht, besteht vorliegend ebenfalls keine Anhörungspflicht ( Art. 57 BGG ).</w:t>
      </w:r>
    </w:p>
    <w:p>
      <w:r>
        <w:rPr>
          <w:b/>
        </w:rPr>
        <w:t>E. 4</w:t>
      </w:r>
    </w:p>
    <w:p>
      <w:r>
        <w:t>Was der Beschwerdeführer in der Sache - soweit er dies überhaupt in einer der Begründungspflicht genügenden Form tut (vorne E. 2.1) - vortragen lässt, ist nicht geeignet, die tatsächlichen Feststellungen des Bundesverwaltungsgerichts als offensichtlich unrichtig und die von ihm daraus gezogenen rechtlichen Schlussfolgerungen als bundesrechtswidrig erscheinen zu lassen: Das Gericht ist zunächst zutreffend davon ausgegangen, dass einem Revisionsexperten die Zulassung entzogen werden kann, wenn dieser die Zulassungsvoraussetzungen - wozu ein unbescholtener Leumund gehört ( Art. 4 Abs. 1 RAG ) - nicht mehr erfüllt ( Art. 17 Abs. 2 RAG ). Es hat sodann die für eine Gewährs- und Leumundsprüfung (vgl. Art. 4 RAV ) anwendbaren Kriterien unter Hinweis auf die bundesgerichtliche Rechtsprechung (vgl. etwa BGE 129 II 438 E. 3.3 betreffend Finanzintermediär, sowie Urteil 2C_655/ 2009 vom 23. März 2010 betreffend Notar) richtig dargestellt und angewendet; auf die entsprechenden Erwägungen des angefochtenen Urteils kann verwiesen werden ( Art. 109 Abs. 3 BGG ). Der Beschwerdeführer hat in den Jahren 1995 bis 1999 zum Nachteil des Wohlfahrtsfonds und der Pensionskasse der Z.________ AG - den Kernbereich seiner Aufgaben als Revisor betreffende - Pflichtverletzungen von erheblicher Schwere zu verantworten (vgl. die Erwägungen 5-7 des Urteils des Kantonsgerichts Basel-Landschaft vom 17. August 2007). Zwar dürfen Widerhandlungen gegen revisionsrechtliche Vorschriften, die zu keiner strafrechtlichen Verurteilung führten und weit mehr als zehn Jahre zurückliegen, dem Revisor bzw. Revisionsexperten grundsätzlich nicht mehr entgegengehalten werden, jedenfalls dann, wenn der Betreffende seitdem die entsprechende berufliche Tätigkeit ohne jede Beanstandung weiterhin ausgeübt hat (Urteil 2C_834/2010 vom 11. März 2011, E. 6.2.4). Daraus kann der Beschwerdeführer aber nichts zu seinen Gunsten ableiten: Einerseits liegen die meisten revisionsrechtlichen Widerhandlungen des Beschwerdeführers nicht dermassen lange zurück, und andererseits hat dieser - wie das Bundesverwaltungsgericht feststellte (S. 27 und 32 des angefochtenen Entscheides) - "bis in die jüngste Vergangenheit hinein" gegen die Unabhängigkeitsvorschriften verstossen (zu welch letzterem Vorwurf der Beschwerdeführer sich im Übrigen sehr wohl hat äussern können [vgl. S. 25/26 seiner Beschwerde an das Bundesverwaltungsgericht] und seine Gehörsrüge deshalb auch in diesem Punkt nicht durchzudringen vermag). Dass die Aufsichtsbehörde und die Vorinstanz bei der Leumundsprüfung sodann darüber hinaus auch Erkenntnisse aus eingestellten Strafverfahren und aus anderen, neueren Zivilverfahren - die zum Teil wegen Geldzahlungen des Beschwerdeführers an die jeweiligen Gegenparteien vergleichsweise erledigt werden konnten - mit berücksichtigt haben, ist nicht bundesrechtswidrig (vgl. Art. 4 Abs. 1 RAV ), sondern erschien im Sinne einer Gesamtwürdigung der Umstände - und mit Blick auf die besonderen Erwartungen, die die Öffentlichkeit in den guten Leumund eines Revisionsexperten haben darf - vielmehr sogar geboten. Inwiefern der hier angefochtene Entzug der persönlichen Zulassung schliesslich unverhältnismässig sein könnte, ist - unter Verweis auf E. 13 des angefochtenen Entscheides - nicht ersichtlich, umso weniger, als der Beschwerdeführer gemäss den für das Bundesgericht grundsätzlich verbindlichen Feststellungen der Vorinstanz (vorne E. 2.2) seine Gesellschaften so organisiert hat, dass "nicht von einem faktischen Berufsverbot gesprochen werden kann" (angefochtenes Urteil S. 35).</w:t>
      </w:r>
    </w:p>
    <w:p>
      <w:r>
        <w:rPr>
          <w:b/>
        </w:rPr>
        <w:t>E. 5</w:t>
      </w:r>
    </w:p>
    <w:p>
      <w:r>
        <w:t>Die Beschwerde erweist sich als offensichtlich unbegründet, soweit darauf eingetreten werden kann. Sie ist im vereinfachten Verfahren ( Art. 109 BGG ) mit summarischer Begründung zu erledigen. Bei diesem Ausgang wird der Beschwerdeführer kostenpflichtig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