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2C_58/2010 vom 19. Mai 2010</w:t>
      </w:r>
    </w:p>
    <w:p>
      <w:r>
        <w:t>Bundesgericht, 2010-05-19, FR</w:t>
      </w:r>
    </w:p>
    <w:p>
      <w:r>
        <w:rPr>
          <w:b/>
        </w:rPr>
        <w:t xml:space="preserve">Quelle: </w:t>
      </w:r>
      <w:r>
        <w:t>https://mcp.opencaselaw.ch/entscheid/bger_2C_58_2010</w:t>
      </w:r>
    </w:p>
    <w:p>
      <w:r>
        <w:t>FR: TF 2C_58/2010 du 19 mai 2010</w:t>
      </w:r>
    </w:p>
    <w:p>
      <w:r>
        <w:t>IT: TF 2C_58/2010 del 19 maggio 2010</w:t>
      </w:r>
    </w:p>
    <w:p>
      <w:pPr>
        <w:pStyle w:val="Heading2"/>
      </w:pPr>
      <w:r>
        <w:t>Erwägungen</w:t>
      </w:r>
    </w:p>
    <w:p>
      <w:r>
        <w:rPr>
          <w:b/>
        </w:rPr>
        <w:t>E. 1</w:t>
      </w:r>
    </w:p>
    <w:p>
      <w:r>
        <w:t>La loi fédérale sur les étrangers du 16 décembre 2005 (LEtr; RS 142.20) est entrée en vigueur le 1er janvier 2008 (RO 2007 5487). En vertu de l'art. 126 al. 1 LEtr, les demandes déposées avant cette date sont régies par l'ancien droit. Le début de la procédure de révocation de l'autorisation de séjour de la recourante remonte au 9 février 2009, soit au moment où, par préavis, le Service cantonal a informé l'intéressée qu'il entendait révoquer son autorisation de séjour et lui a imparti un délai pour quitter la Suisse. La présente cause est par conséquent régie par l'actuelle loi fédérale sur les étrangers.</w:t>
      </w:r>
    </w:p>
    <w:p>
      <w:r>
        <w:rPr>
          <w:b/>
        </w:rPr>
        <w:t>E. 2</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En principe, l'époux étranger d'un ressortissant suisse peut prétendre à l'octroi d'une autorisation de séjour (ou à la prolongation de sa durée de validité) en vertu de l'art. 42 al. 1 LEtr, ce qui suffit pour que son recours échappe à la clause d'irrecevabilité de l' art. 83 let . c ch. 2 LTF (cf. arrêts 2C_618/2009 du 27 janvier 2010 consid. 2.2; 2C_606/2009 du 17 mars 2010 consid. 1). En l'espèce, on peut toutefois se demander si la recourante, qui est actuellement en prison et qui ne faisait pas ménage commun avec son époux avant son incarcération, peut, même au stade de la recevabilité, se prévaloir de l'art. 42 al. 1 let. a LEtr: l'application de cette disposition présuppose en effet que les époux vivent en ménage commun. Une incertitude comparable existe par rapport à l'applicabilité de l'art. 8 § 1 CEDH : cette disposition requiert en effet l'existence d'une relation étroite et effective entre les époux, ce que la vie carcérale rend difficilement envisageable (cf. arrêt 2C_654 du 2 mars 2010 consid. 2.3.4).</w:t>
      </w:r>
    </w:p>
    <w:p>
      <w:r>
        <w:t>Ces questions de recevabilité peuvent cependant demeurer ouvertes, car le recours est de toute façon mal fondé.</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ceux-ci n'aient été établis de façon manifestement inexacte ou en violation du droit au sens de l' art. 95 LTF (cf. art. 105 al. 2 LTF ).</w:t>
      </w:r>
    </w:p>
    <w:p>
      <w:r>
        <w:rPr>
          <w:b/>
        </w:rPr>
        <w:t>E. 4.1</w:t>
      </w:r>
    </w:p>
    <w:p>
      <w:r>
        <w:t>Eu égard à sa nature formelle, la violation du droit d'être entendu invoquée par la recourante doit être examinée avant les autres griefs.</w:t>
      </w:r>
    </w:p>
    <w:p>
      <w:r>
        <w:rPr>
          <w:b/>
        </w:rPr>
        <w:t>E. 4.2</w:t>
      </w:r>
    </w:p>
    <w:p>
      <w:r>
        <w:t>La recourante soutient que le Tribunal cantonal a violé l' art. 29 al. 2 Cst. , au motif qu'il n'a pas donné suite à sa demande d'audition personnelle, ni à celle des personnes ayant fourni des témoignages écrits, et qu'il n'a pas non plus requis l'édition d'un rapport de comportement auprès de la direction des Etablissements pénitentiaires d'Hindelbank et de Champ-Dollon. Le 27 novembre 2009, le Juge instructeur du Tribunal cantonal a en effet rejeté ces offres de preuve au motif que la Cour s'estimait suffisamment renseignée, ce qui ressort également du jugement entrepris.</w:t>
      </w:r>
    </w:p>
    <w:p>
      <w:r>
        <w:rPr>
          <w:b/>
        </w:rPr>
        <w:t>E. 4.3</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126 I 15 consid. 2a/aa p. 16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131 I 153 consid. 3 p. 157; 130 II 425 consid. 2.1 p. 428; 125 I 127 consid. 6c/cc in fine p. 135).</w:t>
      </w:r>
    </w:p>
    <w:p>
      <w:r>
        <w:rPr>
          <w:b/>
        </w:rPr>
        <w:t>E. 4.4</w:t>
      </w:r>
    </w:p>
    <w:p>
      <w:r>
        <w:t>En l'espèce, au vu des éléments au dossier, le Tribunal cantonal pouvait raisonnablement renoncer à faire administrer les preuves requises par la recourante. D'une part, les juges n'ont nullement dénié toute portée aux déclarations écrites produites en cause, de sorte qu'on ne voit pas ce que l'audition de leurs auteurs aurait pu apporter de décisif à la défense des intérêts de la recourante. D'autre part, l' art. 29 al. 2 Cst. n'a pas pour effet, contrairement à ce que semble croire la recourante, de contraindre l'autorité à procéder à l'audition orale d'une partie à la procédure. Enfin, les rapports de comportement émanant des établissements d'Hindelbank et de Champ-Dollon, si élogieux eussent-ils pu être, n'auraient en aucune manière pu influer sur la pesée des intérêts, tant les infractions commises par la recourante étaient graves.</w:t>
      </w:r>
    </w:p>
    <w:p>
      <w:r>
        <w:t>Le grief tiré de la violation du droit d'être entendu doit donc être rejeté.</w:t>
      </w:r>
    </w:p>
    <w:p>
      <w:r>
        <w:rPr>
          <w:b/>
        </w:rPr>
        <w:t>E. 5.1</w:t>
      </w:r>
    </w:p>
    <w:p>
      <w:r>
        <w:t>La recourante s'en prend ensuite à la constatation des faits par l'autorité cantonale, laquelle serait manifestement inexacte au sens de l' art. 97 al. 1 LTF .</w:t>
      </w:r>
    </w:p>
    <w:p>
      <w:r>
        <w:t>Il ressort de l'arrêt attaqué qu'après son mariage, la recourante n'a passé que quelques mois avec son mari dans le canton de Vaud avant d'aller vivre à Genève pour y exercer la prostitution; les premiers juges en ont déduit que les relations entre les époux n'étaient ni particulièrement étroites, ni n'avaient été particulièrement longues avant l'incarcération de la recourante. Loin de démontrer que ces constatations seraient arbitraires, la recourante se borne à opposer de manière purement appellatoire - et donc irrecevable - sa propre version des faits à celle retenue par les premiers juges. Quoi qu'il en soit, ceux-ci ont fondé leurs constatations sur les déclarations mêmes de la recourante et sur des faits établis au pénal, si bien qu'on ne saurait leur faire grief d'avoir fait preuve d'arbitraire dans l'appréciation des preuves et l'établissement des faits.</w:t>
      </w:r>
    </w:p>
    <w:p>
      <w:r>
        <w:t>En tant que recevable, le grief doit donc être rejeté.</w:t>
      </w:r>
    </w:p>
    <w:p>
      <w:r>
        <w:rPr>
          <w:b/>
        </w:rPr>
        <w:t>E. 5.2</w:t>
      </w:r>
    </w:p>
    <w:p>
      <w:r>
        <w:t>La recourante reproche au Tribunal cantonal de n'avoir pas pris en considération l'ensemble des circonstances dans l'application qu'il a faite de l' art. 8 CEDH , sans invoquer la violation de la LEtr que le Tribunal fédéral doit malgré tout examiner d'office (art. 106 al. 1 LEtr). Elle se plaint notamment de ce que le Tribunal cantonal aurait donné une importance exagérée à sa condamnation pénale au détriment d'autres faits de la cause. En particulier, les premiers juges n'auraient pas suffisamment tenu compte de son bon comportement durant sa période de détention et de l'intérêt de son époux - qui ne connaît pas la Guinée - à demeurer en Suisse pour y suivre ses traitements médicaux.</w:t>
      </w:r>
    </w:p>
    <w:p>
      <w:r>
        <w:rPr>
          <w:b/>
        </w:rPr>
        <w:t>E. 5.2.1</w:t>
      </w:r>
    </w:p>
    <w:p>
      <w:r>
        <w:t>L'art. 51 al. 1 let b LEtr dispose que les droits prévus à l'art. 42 LEtr (droits des membres étrangers de la famille d'un ressortissant suisse à l'octroi d'une autorisation de séjour et à sa prolongation) s'éteignent s'il existe des motifs de révocation au sens de l'art. 63 LEtr. Cette dernière disposition classe les cas de révocation en trois catégories dont la première (art. 63 al. 1 let. a LEtr) comprend les cas remplissant les conditions visées à l'art. 62 let. a et b LEtr. En vertu de ce renvoi, la révocation est notamment possible si l'étranger a été condamné à une peine privative de liberté de longue durée ou a fait l'objet d'une mesure pénale prévue aux art. 64 ou 61 CP (art. 62 let. b). Est réputée de longue durée une peine privative de liberté qui dépasse un an d'emprisonnement ( ATF 135 II 377 consid. 4.2 p. 379 ss, qui évoque la genèse de l'art. 62 let. b LEtr). Les motifs de révocation de l'art. 63 LEtr correspondent en principe aux motifs d'expulsion prévus à l'art. 10 de la loi fédérale du 26 mars 1931 sur le séjour et l'établissement des étrangers (LSEE; RS 1 113) qui a été abrogée le 1er janvier 2008. Ainsi, comme sous l'empire de la LSEE, le refus, respectivement la révocation, de l'autorisation de séjour ne se justifie que si la pesée des intérêts à effectuer dans le cas d'espèce fait apparaître la mesure comme proportionnée aux circonstances. Il convient notamment de prendre en considération la gravité de la faute commise, le degré d'intégration respectivement la durée du séjour effectué en Suisse et le préjudice que l'intéressé et sa famille auraient à subir en raison de la mesure (cf. art. 96 al. 1 LEtr; ATF 135 II 377 consid. 4.3 p. 382 et les références citées). Quand le refus d'octroyer une autorisation de séjour se fonde sur la commission d'une infraction, la peine infligée par le juge pénal est le premier critère servant à évaluer la gravité de la faute et à procéder à la pesée des intérêts en présence (cf. ATF 134 II 10 consid. 4.2 p. 23).</w:t>
      </w:r>
    </w:p>
    <w:p>
      <w:r>
        <w:rPr>
          <w:b/>
        </w:rPr>
        <w:t>E. 5.2.2</w:t>
      </w:r>
    </w:p>
    <w:p>
      <w:r>
        <w:t>La recourante remplit la condition de l'art. 62 let. b LEtr, car elle a été condamnée à une peine privative de liberté de longue durée, s'étant vu infliger une peine de 4 ans et demi de privation de liberté pour infractions graves à la loi fédérale sur les stupéfiants. La Cour correctionnelle a du reste confirmé que la culpabilité de l'intéressée devait être qualifiée de lourde, dès lors qu'elle s'était livrée à un trafic portant sur 2300 g de cocaïne dont le degré de pureté moyen était supérieur à celui de la drogue vendue au consommateur final, et ce par seul appât du gain. Or, il s'agit d'un domaine où la jurisprudence se montre particulièrement rigoureuse. La protection de la collectivité publique face au développement du marché de la drogue constitue incontestablement un intérêt public prépondérant justifiant l'éloignement d'un étranger qui s'est rendu coupable d'infraction grave à la loi sur les stupéfiants. Les étrangers qui sont mêlés au commerce des stupéfiants doivent donc s'attendre à faire l'objet de mesures d'éloignement (jurisprudence constante: arrêts 2C_418/2009 du 30 novembre 2009 consid. 4.1; 2C_464/2009 du 21 octobre 2009 consid. 6.1; 2C_277/2009 du 20 août 2009 consid. 4.2 et les références citées). Il est pour le reste renvoyé à la pesée des intérêts effectuée ci-dessous en relation avec l'art. 8 § 2 CEDH .</w:t>
      </w:r>
    </w:p>
    <w:p>
      <w:r>
        <w:rPr>
          <w:b/>
        </w:rPr>
        <w:t>E. 5.3.1</w:t>
      </w:r>
    </w:p>
    <w:p>
      <w:r>
        <w:t>Le droit au respect de la vie privée et familiale garanti par l'art. 8 § 1 CEDH n'est pas absolu. Une ingérence dans l'exercice de ce droit est possible, selon l'art. 8 § 2 CEDH ,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arrêt 2C_295/2009 du 25 septembre 2009 consid. 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(cf. ATF 135 I 143 consid. 2.2 p. 147, 153 consid. 2.2.1 p. 156; 120 Ib 1 consid. 3b p. 4 s., 22 consid. 4a p. 24 s.).</w:t>
      </w:r>
    </w:p>
    <w:p>
      <w:r>
        <w:rPr>
          <w:b/>
        </w:rPr>
        <w:t>E. 5.3.2</w:t>
      </w:r>
    </w:p>
    <w:p>
      <w:r>
        <w:t>La pesée des intérêts devant être réalisée dans le cadre de l'art. 8 § 2 CEDH ne diffère pas de celle découlant de l'art. 96 al. 1 LEtr. La jurisprudence citée par la recourante a trait, quoi qu'elle en dise, à des états de fait fort différents de celui la concernant. En règle générale, une condamnation à une peine d'au moins deux ans de détention conduit à admettre que l'intérêt public à l'éloignement de l'étranger l'emporte sur son intérêt privé - et celui de sa famille - à pouvoir rester en Suisse ( ATF 135 II 377 consid. 4.4 p. 382 s.). Cette limite de deux ans ne constitue pas une limite absolue, mais doit être appréciée au regard de toutes les circonstances du cas et, en particulier, de la nature du délit commis et de la durée du séjour en Suisse de l'étranger (cf. arrêt 2C_651/2009 du 1er mars 2010 consid. 4.4). Le fait qu'un étranger délinquant ait été libéré de manière anticipée après avoir accompli les 2/3 de sa peine n'est pas déterminant dans la pesée des intérêts (cf. ATF 130 II 176 consid. 4.3.3. p. 188).</w:t>
      </w:r>
    </w:p>
    <w:p>
      <w:r>
        <w:rPr>
          <w:b/>
        </w:rPr>
        <w:t>E. 5.4</w:t>
      </w:r>
    </w:p>
    <w:p>
      <w:r>
        <w:t>En l'espèce, la peine privative de liberté est de quatre ans et demi. Le délit en cause est le trafic de drogue motivé par l'appât du gain. La recourante ne bénéficie pas - ou du moins pas encore - de la libération anticipée et son séjour en Suisse, hors emprisonnement, n'a duré que du 2 mars 2003 au 5 septembre 2007. En outre, elle est entrée en Suisse à l'âge de 24 ans et sa famille se trouve toujours en Guinée. Il en va ainsi de son père, de sa mère et de ses deux enfants. De plus, elle possède un baccalauréat et une formation dans le domaine de l'informatique, de sorte que son retour dans son pays ne devrait pas se révéler problématique, en dépit des difficultés relationnelles qu'elle allègue avoir avec son père. A l'inverse, son intégration en Suisse est fort médiocre puisqu'elle n'a trouvé d'autre métier à exercer que celui de prostituée, qu'elle s'est livrée à des activités criminelles, qu'elle a vécu au bénéfice de l'aide sociale et qu'elle a délivré neuf actes de défaut de biens. Quant à son époux, il ressort des déclarations de la recourante qu'il avait accepté la constitution d'un domicile séparé à Genève où elle lui avait faussement indiqué travailler dans un bar. En ce sens, l'éloignement de la recourante ne l'empêcherait pas d'entretenir avec elle des contacts par téléphone, lettres ou messagerie électronique. En outre, son épouse pourrait venir le voir lors de séjours touristiques qui pourraient aussi avoir lieu en sens inverse, nonobstant ses graves problèmes de santé. Ceux-ci ne sont nullement minimisés et interfèrent certainement sur sa capacité à aller vivre sans risque en Guinée. Cette seule circonstance ne saurait toutefois contre-balancer l'intérêt public à renvoyer son épouse de la Suisse au regard de la gravité des infractions qu'elle y a commises. D'autant que les époux entretenaient déjà avant l'incarcération de la recourante des relations très distendues, cette dernière vivant à Genève et son mari dans le canton de Vaud.</w:t>
      </w:r>
    </w:p>
    <w:p>
      <w:r>
        <w:t>Compte tenu de l'ensemble des circonstances, il apparaît que l'intérêt public à éloigner la recourante l'emporte sur son intérêt privé et celui de son conjoint à pouvoir vivre ensemble en Suisse. Par conséquent, en rendant l'arrêt attaqué, le Tribunal cantonal a correctement appliqué la loi fédérale sur les étrangers et l' art. 8 CEDH et procédé à une pesée des intérêts en présence exempte de critique.</w:t>
      </w:r>
    </w:p>
    <w:p>
      <w:r>
        <w:rPr>
          <w:b/>
        </w:rPr>
        <w:t>E. 6</w:t>
      </w:r>
    </w:p>
    <w:p>
      <w:r>
        <w:t>Les considérants qui précèdent conduisent au rejet du recours dans la limite de sa recevabilité. Le recours étant dénué de chances de succès, la requête d'assistance judiciaire doit être rejetée. Succombant, la recourante doit supporter les frais judiciaires ( art. 66 al. 1 LTF ) et n'a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