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2C_589/2024 vom 28. November 2024</w:t>
      </w:r>
    </w:p>
    <w:p>
      <w:r>
        <w:t>Bundesgericht, 2024-11-28, DE</w:t>
      </w:r>
    </w:p>
    <w:p>
      <w:r>
        <w:rPr>
          <w:b/>
        </w:rPr>
        <w:t xml:space="preserve">Quelle: </w:t>
      </w:r>
      <w:r>
        <w:t>https://mcp.opencaselaw.ch/entscheid/bger_2C_589_2024</w:t>
      </w:r>
    </w:p>
    <w:p>
      <w:r>
        <w:t>FR: TF 2C_589/2024 du 28 novembre 2024</w:t>
      </w:r>
    </w:p>
    <w:p>
      <w:r>
        <w:t>IT: TF 2C_589/2024 del 28 novembre 2024</w:t>
      </w:r>
    </w:p>
    <w:p>
      <w:pPr>
        <w:pStyle w:val="Heading2"/>
      </w:pPr>
      <w:r>
        <w:t>Erwägungen</w:t>
      </w:r>
    </w:p>
    <w:p>
      <w:r>
        <w:rPr>
          <w:b/>
        </w:rPr>
        <w:t>E. 1.1</w:t>
      </w:r>
    </w:p>
    <w:p>
      <w:r>
        <w:t>Der algerische Staatsangehörige A.________ (geb. 1979) reiste am 8. April 2021 in die Schweiz ein und heiratete am 13. Juli 2021 in Bern eine in der Schweiz niederlassungsberechtigte kroatische Staatsangehörige. Gestützt auf die Ehe erhielt er eine bis am 30. November 2023 gültige Aufenthaltsbewilligung EU/EFTA. Im März 2023 löste das Ehepaar den gemeinsamen Haushalt auf. Die Scheidung folgte am 12. Februar 2024.</w:t>
      </w:r>
    </w:p>
    <w:p>
      <w:r>
        <w:t>Mit Verfügung vom 24. Oktober 2023 widerrief das Amt für Bevölkerungsdienste des Kantons Bern, Migrationsdienst, die Aufenthaltsbewilligung EU/EFTA von A.________ und wies ihn aus der Schweiz weg.</w:t>
      </w:r>
    </w:p>
    <w:p>
      <w:r>
        <w:rPr>
          <w:b/>
        </w:rPr>
        <w:t>E. 1.2</w:t>
      </w:r>
    </w:p>
    <w:p>
      <w:r>
        <w:t>Die dagegen erhobenen Rechtsmittel wiesen die Sicherheitsdirektion des Kantons Bern mit Entscheid vom 23. April 2024 und das Verwaltungsgericht des Kantons Bern, Verwaltungsrechtliche Abteilung, mit Urteil vom 22. Oktober 2024 ab.</w:t>
      </w:r>
    </w:p>
    <w:p>
      <w:r>
        <w:rPr>
          <w:b/>
        </w:rPr>
        <w:t>E. 1.3</w:t>
      </w:r>
    </w:p>
    <w:p>
      <w:r>
        <w:t>A.________ gelangt mit Beschwerde in öffentlich-rechtlichen Angelegenheiten vom 25. November 2024 (Postaufgabe) an das Bundesgericht und beantragt, es sei das Urteil des Verwaltungsgerichts vom 22. Oktober 2024 aufzuheben und es sei ihm die Aufenthaltsbewilligung zu verlängern. Prozessual ersucht er um Erteilung der aufschiebenden Wirkung.</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3.1</w:t>
      </w:r>
    </w:p>
    <w:p>
      <w:r>
        <w:t>Vorliegend war der Beschwerdeführer im Besitz einer bis am 30. November 2023 gültigen Aufenthaltsbewilligung EU/EFTA, die ihm aufgrund seiner Heirat mit einer in der Schweiz niederlassungsberechtigten EU-Staatsangehörigen erteilt worden war. Da diese Bewilligung keine Rechtswirkungen mehr entfaltet, stellt sich die Frage, ob er einen Anspruch auf deren Verlängerung bzw. auf Erteilung einer neuen Aufenthaltsbewilligung hat.</w:t>
      </w:r>
    </w:p>
    <w:p>
      <w:r>
        <w:rPr>
          <w:b/>
        </w:rPr>
        <w:t>E. 3.2</w:t>
      </w:r>
    </w:p>
    <w:p>
      <w:r>
        <w:t>Da die Ehe des Beschwerdeführers geschieden wurde, kann der Beschwerdeführer keine Aufenthaltsrechte mehr aus dem FZA (SR 0.142.112.681) ableiten (vgl. Urteile 2C_318/2024 vom 24. Juni 2024 E. 2.3; 2C_407/2020 vom 24. August 2021 E. 2). Ausser Betracht fällt weiter die Erteilung einer Aufenthaltsbewilligung gestützt auf Art. 50 Abs. 1 lit. a AIG (SR 142.20), da die Ehegemeinschaft in der Schweiz unbestrittenermassen weniger als drei Jahre gedauert hat. Weiter kann der Beschwerdeführer, der sich erst seit April 2021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substanziiert dargetan.</w:t>
      </w:r>
    </w:p>
    <w:p>
      <w:r>
        <w:t>Infrage kommt somit einzig die Erteilung einer Aufenthaltsbewilligung aus wichtigen persönlichen Gründen gemäss Art. 50 Abs. 1 lit. b AIG , auf welchen sich der Beschwerdeführer beruft.</w:t>
      </w:r>
    </w:p>
    <w:p>
      <w:r>
        <w:rPr>
          <w:b/>
        </w:rPr>
        <w:t>E. 3.3</w:t>
      </w:r>
    </w:p>
    <w:p>
      <w:r>
        <w:t>Diesbezüglich hat die Vorinstanz - unter Hinweis auf die Mitwirkungspflicht der ausländischen Person ( Art. 90 AIG ; vgl. u.a. BGE 142 I 152 E. 6.2; Urteil 2C_284/2024 vom 13. September 2024 E. 4.2) - zunächst erwogen, der Beschwerdeführer habe die von ihm behauptete eheliche Gewalt nicht in geeigneter Weise glaubhaft machen können. Sodann hat sie das Vorliegen anderer wichtiger persönlicher Gründe im Sinne von Art. 50 Abs. 1 lit. b AIG geprüft und verneint. Insbesondere hat sie, unter Berücksichtigung der bundesgerichtlichen Rechtsprechung, festgehalten, dass eine gelungene Integration keinen Anspruch im Rahmen von Art. 50 Abs. 1 lit. b AIG begründe (vgl. auch Urteil 2C_10/2023 vom 31. Mai 2023 E. 3.2.3).</w:t>
      </w:r>
    </w:p>
    <w:p>
      <w:r>
        <w:rPr>
          <w:b/>
        </w:rPr>
        <w:t>E. 3.4</w:t>
      </w:r>
    </w:p>
    <w:p>
      <w:r>
        <w:t>Der Beschwerdeführer wirft der Vorinstanz zunächst vor, sie habe den Sachverhalt willkürlich festgestellt, indem sie zum Schluss gelangt sei, dass keine Anhaltspunkte ersichtlich seien, die eheliche Gewalt in der von der Rechtsprechung geforderten Intensität belegen würden. Zur Begründung führt er einzig aus, dass seine Anschuldigungen "keineswegs vage, sondern im Gegenteil sehr konkret" gewesen seien. Mit diesen blossen Behauptungen vermag er indessen nicht substanziiert darzutun ( Art. 106 Abs. 2 BGG ), dass die Vorinstanz die vorgelegten Beweise und Indizien betreffend die geltend gemachte eheliche Gewalt willkürlich gewürdigt habe. Insbesondere legt er nicht dar, dass das Verwaltungsgericht entscheidende Beweismittel ausser Acht gelassen oder aus den vorhandenen Beweismitteln unhaltbare Schlüsse gezogen habe. Es ist somit auf die vorinstanzlichen Sachverhaltsfeststellungen abzustellen ( Art. 105 Abs. 1 BGG ). Vor diesem Hintergrund gelingt es dem Beschwerdeführer nicht, rechtsgenüglich darzutun, dass das Verwaltungsgericht Bundesrecht verletzt habe, indem es das Vorliegen ehelicher Gewalt i.S.v. Art. 50 Abs. 1 lit. b und Abs. 2 AIG verneint hat.</w:t>
      </w:r>
    </w:p>
    <w:p>
      <w:r>
        <w:rPr>
          <w:b/>
        </w:rPr>
        <w:t>E. 3.5</w:t>
      </w:r>
    </w:p>
    <w:p>
      <w:r>
        <w:t>Im Übrigen beschränkt sich der Beschwerdeführer darauf, zu behaupten, dass er seine existenzielle Grundlage in seiner Heimat verloren habe und darauf hinzuweisen, dass er sich in der Schweiz eine neue Existenz aufgebaut habe und er in der Lage sei, seinen Lebensunterhalt mit einer eigenen Erwerbstätigkeit zu bestreiten.</w:t>
      </w:r>
    </w:p>
    <w:p>
      <w:r>
        <w:t>Auch mit diesen Vorbringen, die eine sachbezogene Argumentation mit den vorinstanzlichen Erwägungen, die zu einer Verneinung (anderer) wichtiger persönlicher Gründe geführt haben, vermissen lassen, vermag der Beschwerdeführer nicht rechtsgenüglich aufzuzeigen ( Art. 42 Abs. 2 BGG ), dass und inwiefern die Vorinstanz das Vorliegen eines nachehelichen Härtefalls i.S.v. Art. 50 Abs. 1 lit. b AIG in bundesrechtswidriger Weise verneint hätte.</w:t>
      </w:r>
    </w:p>
    <w:p>
      <w:r>
        <w:rPr>
          <w:b/>
        </w:rPr>
        <w:t>E. 4.1</w:t>
      </w:r>
    </w:p>
    <w:p>
      <w:r>
        <w:t>Im Ergebnis entbehrt die Eingabe des Beschwerdeführers einer genügenden Begründung ( Art. 42 Abs. 2 und Art. 106 Abs. 2 BGG ). Es ist darauf mit Entscheid des präsidierenden Mitglieds der Abteilung als Einzelrichterin im vereinfachten Verfahren nach Art. 108 BGG (Abs. 1 lit. b) nicht einzutreten. Damit wird das Gesuch um aufschiebende Wirkung gegenstandslos.</w:t>
      </w:r>
    </w:p>
    <w:p>
      <w:r>
        <w:rPr>
          <w:b/>
        </w:rPr>
        <w:t>E. 4.2</w:t>
      </w:r>
    </w:p>
    <w:p>
      <w:r>
        <w:t>Der unterliegende Beschwerdeführer trägt die Kosten des bundesgerichtlichen Verfahrens ( Art. 66 Abs. 1 Satz 1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