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589/2013 vom 17. Januar 2014</w:t>
      </w:r>
    </w:p>
    <w:p>
      <w:r>
        <w:t>Bundesgericht, 2014-01-17, FR</w:t>
      </w:r>
    </w:p>
    <w:p>
      <w:r>
        <w:rPr>
          <w:b/>
        </w:rPr>
        <w:t xml:space="preserve">Quelle: </w:t>
      </w:r>
      <w:r>
        <w:t>https://mcp.opencaselaw.ch/entscheid/bger_2C_589_2013</w:t>
      </w:r>
    </w:p>
    <w:p>
      <w:r>
        <w:t>FR: TF 2C 589/2013 du 17 janvier 2014</w:t>
      </w:r>
    </w:p>
    <w:p>
      <w:r>
        <w:t>IT: TF 2C 589/2013 del 17 gennaio 2014</w:t>
      </w:r>
    </w:p>
    <w:p>
      <w:pPr>
        <w:pStyle w:val="Heading2"/>
      </w:pPr>
      <w:r>
        <w:t>Regeste</w:t>
      </w:r>
    </w:p>
    <w:p>
      <w:r>
        <w:t>Impôt cantonal et communal 2000 - 2005 et impôt fédéral direct 2000 - 2005 | Finances publiques &amp; droit fiscal</w:t>
      </w:r>
    </w:p>
    <w:p>
      <w:pPr>
        <w:pStyle w:val="Heading2"/>
      </w:pPr>
      <w:r>
        <w:t>Erwägungen</w:t>
      </w:r>
    </w:p>
    <w:p>
      <w:r>
        <w:rPr>
          <w:b/>
        </w:rPr>
        <w:t>E. 1</w:t>
      </w:r>
    </w:p>
    <w:p>
      <w:r>
        <w:t>Le Tribunal cantonal a rendu un seul arrêt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à la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l'ICC (2C_589/2013), l'autre l'IFD (2C_590/2013). Comme l'état de fait et les griefs qu'invoque la recourante sont identiques, les causes seront néanmoins jointes et il sera statué dans un seul arrêt (cf. art. 71 LTF et 24 PCF [RS 273]).</w:t>
      </w:r>
    </w:p>
    <w:p>
      <w:r>
        <w:rPr>
          <w:b/>
        </w:rPr>
        <w:t>E. 2</w:t>
      </w:r>
    </w:p>
    <w:p>
      <w:r>
        <w:t>L'arrêt entrepris a été rendu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l'impôt fédéral direct, à l'art. 146 de la loi fédérale du 14 décembre 1990 sur l'impôt fédéral direct (LIFD; RS 642.11) et, pour les impôts cantonal et communal, à l'art. 73 al. 1 de la loi fédérale du 14 décembre 1990 sur l'harmonisation des impôts directs des cantons et des communes (LHID; RS 642.14), dès lors que le recours concerne l'imposition d'une personne morale et les procédures relatives au rappel et à la soustraction d'impôt, soit des matières harmonisées figurant aux titres 3, 5 et 6 chapitre 1 de ladite loi. Le recours a en outre été déposé en temps utile ( art. 100 al. 1 LTF ) et dans les formes requises ( art. 42 LTF ) par la contribuable destinataire de l'acte attaqué, de sorte qu'il convient en principe d'entrer en matière.</w:t>
      </w:r>
    </w:p>
    <w:p>
      <w:r>
        <w:rPr>
          <w:b/>
        </w:rPr>
        <w:t>E. 3</w:t>
      </w:r>
    </w:p>
    <w:p>
      <w:r>
        <w:t>Le Tribunal fédéral applique le droit d'office, sur la base des faits établis par l'autorité précédente (art. 105 al. 1 et 106 al. 1 LTF), sauf si ceux-ci ont été retenus de façon manifestement inexacte - ce qui correspond à la notion d'arbitraire ( ATF 137 II 353 consid. 5.1 p. 356)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La recourante présente, en particulier sous le titre "résumé des faits pertinents" de son mémoire, sa propre version des faits. Dans la mesure où celle-ci s'écarte des faits constatés dans l'arrêt attaqué sans qu'il soit indiqué en quoi ceux-ci seraient manifestement inexacts ou arbitraires, elle n'est pas admissible. II. Impôt fédéral direct</w:t>
      </w:r>
    </w:p>
    <w:p>
      <w:r>
        <w:rPr>
          <w:b/>
        </w:rPr>
        <w:t>E. 4</w:t>
      </w:r>
    </w:p>
    <w:p>
      <w:r>
        <w:t>En tant que la Société entend faire porter son recours devant le Tribunal fédéral sur l'IFD, celui-ci doit être déclaré irrecevable. Tel que l'admet la recourante, le recours qu'elle avait interjeté le 30 janvier 2013 auprès du Tribunal cantonal en lien avec la Ferrari Enzo se limitait en effet expressément à l'ICC; elle ne saurait donc, devant le Tribunal fédéral, élargir l'objet du litige (cf. ATF 136 II 457 consid. 4.2 p. 462 s.; 133 IV 119 consid. 6.4 p. 121), à savoir demander davantage ou autre chose que ce qui figure dans les dernières conclusions prises devant l'autorité précédente (cf. arrêts 9C_1044/2012 du 25 juillet 2013 consid. 2.1; 2C_176/2012 du 18 octobre 2012 consid. 3.3, non publié in ATF 138 II 536 ). S'ajoute à cela qu'au jour de la saisine du Tribunal cantonal, le droit de la Société de recourir en matière d'IFD contre la décision sur réclamation du 19 décembre 2012 (notifiée le lendemain) était déjà éteint depuis le 21 janvier 2013, en raison du délai péremptoire de trente jours instauré à l' art. 140 al. 1 LIFD cum art. 119 al. 1 et 133 LIFD ; il sied de rappeler que la LIFD ne connaît pas, à l'opposé de ce que prévoit le droit de procédure cantonal (cf. art. 96 al. 1 de la loi vaudoise du 28 octobre 2008 sur la procédure administrative; LPA/VD; RS/VD 173.36), une période de suspension des délais durant les féries, en dépit du défaut d'harmonisation des solutions fédérale et cantonales auquel cette situation aboutit (cf. arrêts 2C_628/2010 du 28 juin 2011 consid. 3, non publié in ATF 137 II 353 mais in RDAF 2011 II 405, et les références citées; 2C_331/2008 du 27 juin 2008 consid. 1). Partant, même si la recourante avait pris des conclusions concernant l'IFD dans son recours devant le Tribunal cantonal, celles-ci auraient été irrecevables car formées tardivement. Contrairement à ce que prétend la recourante, la circonstance que l'arrêt attaqué mentionne l'IFD dans son rubrum et qu'il semble, de façon ambiguë, aussi en traiter à son consid. 2c, sans toutefois l'aborder au stade du dispositif, ne permet pas de faire renaître un droit périmé. Cela ne saurait du reste équivaloir à un "réexamen" par la juridiction de recours cantonale, dont les jugements ne peuvent être modifiés que dans le cadre des règles gouvernant la révision (cf. art. 100 ss LPA /VD). En conséquence, le recours concernant l'IFD est irrecevable (cause 2C_590/2013). III. Impôt cantonal et communal</w:t>
      </w:r>
    </w:p>
    <w:p>
      <w:r>
        <w:rPr>
          <w:b/>
        </w:rPr>
        <w:t>E. 5</w:t>
      </w:r>
    </w:p>
    <w:p>
      <w:r>
        <w:t>Invoquant une violation de l' art. 24 LHID concernant la détermination du bénéfice net de la personne morale, la recourante reproche au Tribunal cantonal de s'être cru à tort lié par son précédent arrêt de renvoi du 19 septembre 2012. Dans la mesure où la nouvelle décision sur réclamation que l'Administration cantonale avait prise le 19 décembre 2012 devait être considérée comme une décision finale et non comme une décision incidente, le Tribunal cantonal aurait pu et dû s'écarter des termes de son précédent arrêt.</w:t>
      </w:r>
    </w:p>
    <w:p>
      <w:r>
        <w:rPr>
          <w:b/>
        </w:rPr>
        <w:t>E. 5.1</w:t>
      </w:r>
    </w:p>
    <w:p>
      <w:r>
        <w:t>Pour autant qu'ils soient intelligibles, les arguments que soulève la recourante ne portent pas tant sur le droit fiscal que sur les principes généraux de procédure gouvernant les arrêts de renvoi (cf. ATF 99 Ib 519 consid. 1b p. 520; arrêt 8C_3/2013 du 24 juillet 2013 consid. 3.5), car ils remettent en cause la cognition avec laquelle le Tribunal cantonal pouvait revoir la nouvelle décision que l'autorité fiscale cantonale avait prise pour se conformer à son arrêt de renvoi. Or, l'on ne voit pas que la position du Tribunal cantonal, selon laquelle les considérants de son arrêt de renvoi lient tant les parties que le tribunal lui-même serait contraire à des règles générales de procédure, qu'il aurait appartenu à la recourante de préciser. Cette position correspond du reste à la jurisprudence du Tribunal fédéral rendue au sujet de ses propres arrêts de renvoi (cf. ATF 135 III 334 consid. 2 p. 335; 125 III 421 consid. 2a p. 423; arrêt 2C_519/2013 du 3 septembre 2013 consid. 2.1).</w:t>
      </w:r>
    </w:p>
    <w:p>
      <w:r>
        <w:rPr>
          <w:b/>
        </w:rPr>
        <w:t>E. 5.2</w:t>
      </w:r>
    </w:p>
    <w:p>
      <w:r>
        <w:t>Il sera encore précisé que la Cour de céans vérifiera la conformité au droit tant de l'argumentation contenue dans l'arrêt attaqué que, dès lors qu'elle influe sur la décision attaquée qui s'y réfère expressément, de celle contenue dans l'arrêt de renvoi (cf. art. 93 al. 3 LTF ; ATF 135 III 329 consid. 1.2.2 p. 333). Il aurait certes, à cet égard, incombé à la recourante d'attaquer explicitement la décision de renvoi en même temps que l'arrêt du 23 mai 2013; néanmoins, la jurisprudence du Tribunal fédérale se montre peu exigeante par rapport à la contestation d'une décision incidente simultanément à une décision finale, pour autant que l'on comprenne clairement, comme en l'espèce, que la partie recourante développe une motivation suffisante également à l'encontre du premier acte (cf. arrêts 5A_888/2011 du 20 juin 2012 consid. 3.1, sic! 11/2012 p. 720; 4A_424/2011 du 2 novembre 2011 consid. 1.5.1).</w:t>
      </w:r>
    </w:p>
    <w:p>
      <w:r>
        <w:rPr>
          <w:b/>
        </w:rPr>
        <w:t>E. 6</w:t>
      </w:r>
    </w:p>
    <w:p>
      <w:r>
        <w:t>Le litige porte sur le point principal de savoir si, en inscrivant le véhicule de marque Ferrari Enzo dans ses comptes et en en assumant les charges d'entretien et d'amortissement avant de revendre ladite automobile à son administrateur et actionnaire unique, la Société a accordé à celui-ci une prestation appréciable en argent sujette à reprise fiscale en matière d'ICC.</w:t>
      </w:r>
    </w:p>
    <w:p>
      <w:r>
        <w:rPr>
          <w:b/>
        </w:rPr>
        <w:t>E. 6.1</w:t>
      </w:r>
    </w:p>
    <w:p>
      <w:r>
        <w:t>Les précédents juges ont considéré que la Ferrari Enzo acquise en 2002 ne constituait ni un actif commercial servant à l'exploitation de l'entreprise, ni une valeur de placement, mais un actif fictif . Le fisc devait partant ajouter au bénéfice déclaré par la Société tous les frais et autres amortissements afférents à la Ferrari, lesquels constituaient autant de distributions dissimulées de bénéfice à l'actionnaire; les montants déboursés par la Société pour l'acquisition de ce bien devaient en outre être réintroduits dans sa fortune pour déterminer son capital imposable; enfin, la reprise opérée sous chiffre 1.03 devait être recalculée afin que l'achat de la Ferrari n'entraîne aucune conséquence pour la Société en matière d'impôt sur le bénéfice, mais figure en tant que "réserve négative" dans les fonds propres, réduisant d'autant le capital imposable, tandis qu'il s'agirait, pour l'actionnaire, d'une prestation appréciable en argent à hauteur du prix du véhicule. Dans l'arrêt attaqué, le Tribunal cantonal a jugé que le fisc s'était conformé aux instructions précitées. La conséquence de ces corrections avait été de ramener de 643'449 fr. à 174'720 fr. le total des éléments soustraits du revenu, et de 103'642 fr. à -1'626'382 fr. le total des éléments soustraits du capital de la recourante. Le complément d'impôt ICC se montait ainsi à 30'855 fr. 95 au lieu de 87'197 fr. 55. La diminution corrélative des amendes pour (tentative de) soustraction concernant les périodes ICC 2000-2003 avait également été opérée.</w:t>
      </w:r>
    </w:p>
    <w:p>
      <w:r>
        <w:rPr>
          <w:b/>
        </w:rPr>
        <w:t>E. 6.2</w:t>
      </w:r>
    </w:p>
    <w:p>
      <w:r>
        <w:t>La recourante conteste, à titre principal, les qualifications d'actif fictif et de prestation appréciable en argent de l'achat et de la revente de la Ferrari Enzo. Elle reproche au Tribunal cantonal d'avoir méconnu le principe de la déterminance ainsi que la marge d'appréciation comptable que le fisc doit consentir aux contribuables (cf. art. 24 LHID ) et affirme que l'acquisition du véhicule avait été opérée à titre de placement à une époque où le rendement bancaire était quasi inexistant et où les bourses étaient en baisse. La Société propose, à titre subsidiaire, de faire correspondre la reprise fiscale à l'intérêt qui aurait été facturé à son actionnaire unique si le prix du véhicule avait été assimilé à un prêt à l'actionnaire, les amendes pour soustraction devant être adaptées en conséquence.</w:t>
      </w:r>
    </w:p>
    <w:p>
      <w:r>
        <w:rPr>
          <w:b/>
        </w:rPr>
        <w:t>E. 6.3</w:t>
      </w:r>
    </w:p>
    <w:p>
      <w:r>
        <w:t>Devant le Tribunal fédéral, l'Administration cantonale et l'Administration fédérale contestent les arguments de la recourante. Elles estiment toutefois que la qualification des opérations liées à la Ferrari Enzo en tant que distribution dissimulée de bénéfice de la recourante à son actionnaire excluait d'emblée l'existence d'un actif fictif, pourtant retenue par le Tribunal cantonal. IV. Existence d'une prestation appréciable en argent</w:t>
      </w:r>
    </w:p>
    <w:p>
      <w:r>
        <w:rPr>
          <w:b/>
        </w:rPr>
        <w:t>E. 7.1</w:t>
      </w:r>
    </w:p>
    <w:p>
      <w:r>
        <w:t>Conformément à l' art. 24 al. 1 LHID , l'art. 94 al. 1 de la loi vaudoise du 4 juillet 2000 sur les impôts directs cantonaux (LI/VD; RS/VD 642.11) concernant l'impôt sur le bénéfice et le capital des personnes morales (cf. art. 92 et 93 LI/VD) dispose, notamment, que le bénéfice net imposable comprend le solde du compte de résultats (let. a), de même que tous les prélèvements opérés sur le résultat commercial, avant le calcul du solde du compte de résultats, qui ne servent pas à couvrir des dépenses justifiées par l'usage commercial, tels que les amortissements et les provisions qui ne sont pas justifiés par l'usage commercial ou les distributions ouvertes ou dissimulées de bénéfice et les avantages procurés à des tiers qui ne sont pas justifiés par l'usage commercial (let. b, 2e et 5e tirets). L' art. 24 al. 1 LHID correspond lui-même à l' art. 58 LIFD , si bien qu'il est possible de se référer également aux principes dégagés en matière d'IFD (cf. arrêt 2C_645/2012 du 13 février 2013 consid. 10).</w:t>
      </w:r>
    </w:p>
    <w:p>
      <w:r>
        <w:rPr>
          <w:b/>
        </w:rPr>
        <w:t>E. 7.2</w:t>
      </w:r>
    </w:p>
    <w:p>
      <w:r>
        <w:t>De jurisprudence constante,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131 II 593 consid. 5 p. 607 ss; 119 Ib 116 consid. 2 p. 119; arrêt 2C_708/2012 du 21 décembre 2012 consid. 4.3, non publié in ATF 139 I 64 mais in RF 68/2013 p. 212).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(arrêts 2P.195/2005 du 16 février 2006 consid. 3.2; 2P.153/2002 du 29 novembre 2002 consid. 3.2, StE 2003 B 72.14.2 n° 31; voir aussi, pour des exemples, arrêts 2C_273/2013 du 16 juillet 2013 consid. 3.2; 2A.573/2004 du 13 juin 2005 consid. 3.1, RtiD 2005 II 514; A.518/1986 du 16 avril 1987 consid. 4b et c, NStP 41/1987 p. 107 s.). Il incombe à celui qui fait valoir l'existence d'un fait de nature à éteindre ou à diminuer sa dette fiscale d'en apporter la preuve (cf. ATF 121 II 257 consid. 4c/aa p. 266; arrêts 2C_416/2013 du 5 novembre 2013 consid. 8.2, non destiné à la publication; 2C_549/2012 du 16 mai 2013 consid. 3.1, RF 68/2013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w:t>
      </w:r>
    </w:p>
    <w:p>
      <w:r>
        <w:rPr>
          <w:b/>
        </w:rPr>
        <w:t>E. 7.3</w:t>
      </w:r>
    </w:p>
    <w:p>
      <w:r>
        <w:t>Il ressort des constatations cantonales que la Société, dont le capital-actions libéré ascende à 50'000 fr. et dont le capital imposable déclaré pour les années 2000 à 2005 variait entre cinq à six millions de francs environ, est active dans le commerce et la réparation d'équipement routier. En 2002, cette dernière a acquis une voiture de marque Ferrari Enzo de série limitée au prix de 942'379 fr. hors TVA. Elle a toutefois reconnu que ce véhicule de luxe ne constituait pas un actif commercial servant à l'exploitation de l'entreprise, notamment à des fins de déplacement ou de représentation commerciale; le véhicule n'aurait d'ailleurs été conduit par l'administrateur de la Société qu'à raison de dix jours par année (cf. décision sur réclamation du 31 octobre 2011, p. 10; art. 105 al. 2 LTF ), respectivement à raison de 1'200 km/an, dans le seul but de roder le moteur (recours du 26 juin 2013, p. 3). Même en considérant -, comme le propose la recourante, qui se réfère aux liquidités dont elle disposait en 2002 -, l'achat de la Ferrari en tant qu'actif de placement, celui-ci ne s'est accompagné d'aucune contre-prestation en faveur de la Société, sous la forme d'un rendement et/ou d'une plus-value au moment de la revente, en 2005, du véhicule à l'administrateur et actionnaire unique, auquel le véhicule a été cédé à son prix d'acquisition. Au demeurant, ledit actionnaire est connu pour sa collection de voitures de la marque Ferrari. L'acquisition du véhicule a, au contraire, occasionné des frais d'entretien et amortissements diminuant d'autant les comptes de résultat de la Société. L'ensemble de ces circonstances démontre que les dépenses pour l'acquisition et l'entretien du véhicule litigieux ne correspondaient manifestement pas aux usages commerciaux. Ils ont en réalité eu pour but de satisfaire le goût personnel de l'administrateur et actionnaire unique de la recourante, collectionneur avéré, pour les voitures de luxe de la marque Ferrari (voir, par exemple, arrêts 2C_60/2013 du 14 août 2013 consid. 6.4 [location d'un immeuble à l'administrateur unique de la société en-dessous de sa valeur marchande]; 2P.195/2005 du 16 février 2006 consid. 3.4 [achat ou leasing de véhicules de luxe]; 2A.573/2004 du 13 juin 2005 consid. 5.3 [acquisition de deux propriétés foncières de standing]; A.518/1986 du 16 avril 1986 consid. 4b, NStP 41/1987 p. 107 [acquisition d'un yacht avec place d'amarrage]; cf. aussi la jurisprudence citée in Peter Locher, Kommentar zum DBG, vol. II, 2004, n. 111 p. 291 s., et Richner/Frei/ Kaufmann/Meuter, Handkommentar zum DBG, 2e éd., 2009, nos 127 ss, p. 741). Par ailleurs, de telles dépenses et la renonciation à un rendement et/ ou à une plus-value de revente ne s'expliquent que par la qualité d'actionnaire et d'administrateur unique de Y.________, qui s'est en outre ponctuellement et gratuitement servi du véhicule à des fins de rodage, avant de racheter ce dernier à la Société, en 2005, au même prix auquel celle-ci l'avait acquis en 2002. Au vu des montants en jeu et de l'absence de toute contre-prestation que l'acquisition du véhicule a entraînée en faveur de la Société, laquelle a même dû prendre en charge des frais et amortissements, les organes de la recourante devaient se rendre compte de l'avantage disproportionné qu'ils accordaient. La prestation était d'autant plus évidente que Y.________ était l'administrateur unique de la Société (cf. arrêt 2C_60/2013 précité, consid. 6.3 in fine).</w:t>
      </w:r>
    </w:p>
    <w:p>
      <w:r>
        <w:rPr>
          <w:b/>
        </w:rPr>
        <w:t>E. 7.4</w:t>
      </w:r>
    </w:p>
    <w:p>
      <w:r>
        <w:t>Le principe de l'autorité du bilan commercial ou de déterminance qu'énonce la recourante (cf. art. 94 al. 1 let. a LI/VD) ne lui permet pas de s'opposer à la qualification de prestation imposable en argent. En effet, ce principe signifie que les comptes établis conformément aux règles du droit commercial lient les autorités fiscales, à moins que le droit fiscal ne prévoie des règles correctrices spécifiques et pour autant que le bilan remis par le contribuable ne viole aucune disposition impérative du droit commercial ( ATF 137 II 353 consid. 6.2 p. 359; 132 I 175 consid. 2.2 p. 177 s.). Il y a violation des règles de droit commercial prévues aux art. 957 ss CO (ainsi qu'aux art. 662 ss CO pour les sociétés anonymes), notamment du principe de sincérité de l' art. 959 CO , lorsque la société comptabilise une charge étrangère à son activité ( ATF 135 II 86 consid. 3.1 p. 88). Or, comme il a été vu, une telle violation a été commise dans le cas d'espèce, de sorte qu'il se justifiait de s'écarter des comptes établis par la Société.</w:t>
      </w:r>
    </w:p>
    <w:p>
      <w:r>
        <w:rPr>
          <w:b/>
        </w:rPr>
        <w:t>E. 7.5</w:t>
      </w:r>
    </w:p>
    <w:p>
      <w:r>
        <w:t>Il s'ensuit que le Tribunal cantonal n'a pas violé le droit fiscal en admettant que les opérations liées à l'acquisition et à la revente de la Ferrari Enzo par la recourante constituaient des prestations appréciables en argent en faveur de son unique actionnaire. Il se justifiait dès lors que des reprises fiscales soient effectuées au sens des art. 24 al. 1 LHID et 94 al. 1 LI/VD. Reste à vérifier comment celles-ci ont été évaluées (consid. 8 infra). V. Modalités de calcul des reprises fiscales</w:t>
      </w:r>
    </w:p>
    <w:p>
      <w:r>
        <w:rPr>
          <w:b/>
        </w:rPr>
        <w:t>E. 8</w:t>
      </w:r>
    </w:p>
    <w:p>
      <w:r>
        <w:t>Partant de l'existence d'un actif fictif, le Tribunal cantonal a jugé que la Ferrari Enzo constituait une " non-valeur " qu'il incombait aux autorités fiscales d'ignorer d'un point de vue comptable. Contestant cette qualification, les autorités fiscales considèrent quant à elles qu'il aurait fallu opérer une reprise à hauteur de la valeur de location du véhicule qui aurait été payée par un tiers dans le cadre d'une transaction comparable. Dans une conclusion subsidiaire de son recours, la Société propose une reprise correspondant à l'intérêt qui aurait été facturé à son actionnaire si le prix de la Ferrari avait été assimilé à un prêt.</w:t>
      </w:r>
    </w:p>
    <w:p>
      <w:r>
        <w:rPr>
          <w:b/>
        </w:rPr>
        <w:t>E. 8.1</w:t>
      </w:r>
    </w:p>
    <w:p>
      <w:r>
        <w:t>Contrairement à ce qu'ont retenu les précédents juges dans l'arrêt entrepris du 23 mai 2013 et comme l'ont du reste souligné les autorités fiscales dans leurs déterminations, l'acquisition de la Ferrari Enzo par la recourante ne saurait ici être assimilée à un actif fictif .</w:t>
      </w:r>
    </w:p>
    <w:p>
      <w:r>
        <w:rPr>
          <w:b/>
        </w:rPr>
        <w:t>E. 8.1.1</w:t>
      </w:r>
    </w:p>
    <w:p>
      <w:r>
        <w:t>Cette dernière notion regroupe en effet les actifs qui, en violation du principe de sincérité ou de vérité du bilan commercial, "n'existent pas" ( PIERRE-MARIE GLAUSER, Apports et impôt sur le bénéfice, 2005, p. 55); il s'agit donc d'une "non-valeur", qui peut notamment prendre la forme d'une acquisition d'un actif à un prix surfait ( ROBERT DANON, ad art. 57-58 LIFD , in Commentaire IFD, 2008, n. 160 p. 761, citant notamment l'arrêt 2P.40/2002 du 1er mai 2002 consid. 3.1; LOCHER, op. cit., n. 112 p. 293), et qui revient, en somme, à établir un faux bilan en y faisant figurer des valeurs comptables (partiellement) inexistantes (cf. arrêt A.425/81 du 5 avril 1984 consid. 3b/cc, ASA 53 p. 279, 287). Qu'un bien ou service n'ait pas été acquis dans le but de servir, directement ou indirectement, à l'exploitation commerciale de la Société, mais pour satisfaire les intérêts personnels de son actionnaire, ne signifie pas que l'actif soit fictif; la jurisprudence sur laquelle s'est fondé le Tribunal cantonal ( ATF 112 Ib 79 consid. 3a p. 82) n'y change rien, dès lors qu'elle a trait aux critères de délimitation entre la fortune commerciale et privée dans le commerce d'immeubles et ne concerne pas la présente problématique. Or, tant au moment de son acquisition par la Société que durant la période où il était propriété de la recourante, de même qu'au jour de sa revente, le véhicule litigieux possédait une valeur objective certaine qui correspondait à celle portée au bilan et qui, au demeurant, et de façon notoire s'agissant d'une voiture de luxe de série limitée, était promise à augmenter au fil du temps.</w:t>
      </w:r>
    </w:p>
    <w:p>
      <w:r>
        <w:rPr>
          <w:b/>
        </w:rPr>
        <w:t>E. 8.1.2</w:t>
      </w:r>
    </w:p>
    <w:p>
      <w:r>
        <w:t>Par ailleurs, il ne résulte pas des constatations cantonales, qui lient la Cour de céans ( art. 105 al. 1 LTF ; la détermination de la volonté réelle des cocontractants relevant du fait: ATF 135 III 410 consid. 3.2 p. 413; arrêt 4A_429/2012 du 2 novembre 2012 consid. 4.2, SJ 2013 I 286), quand bien même une telle situation eût été envisageable, que le contrat par lequel la Société avait acquis la Ferrari Enzo avant de revendre celle-ci à son actionnaire unique serait qualifiable d' acte juridique simulé ( art. 18 CO ; cf., pour la notion, ATF 123 IV 61 consid. 5c/cc p. 68; 112 II 337 consid. 4a p. 343; arrêt 5A_260/2013 du 9 septembre 2013 consid. 3.3.2.1), en vertu duquel les parties auraient convenu que le véhicule serait en réalité d'emblée vendu à l'actionnaire unique de la Société et non pas à cette dernière.</w:t>
      </w:r>
    </w:p>
    <w:p>
      <w:r>
        <w:rPr>
          <w:b/>
        </w:rPr>
        <w:t>E. 8.1.3</w:t>
      </w:r>
    </w:p>
    <w:p>
      <w:r>
        <w:t>En conséquence, c'est à tort que les juges cantonaux ont retenu que la Ferrari Enzo constituait une non-valeur dans les comptes de la recourante. Ce véhicule représentait au contraire un véritable actif pour la Société, qui en était, entre 2002 et 2005, la propriétaire sur le plan du droit civil. Les prestations appréciables en argent que fondent l'achat et la revente du véhicule ne sauraient partant faire l'objet d'une reprise dans les termes prescrits par les précédents juges, soit de façon à ce que l'achat du véhicule n'entraîne aucune conséquence pour la recourante en matière d'impôt sur le bénéfice (en particulier la création d'une réserve négative au passif du bilan; cf. à ce titre Danon, op. cit., nos 160 ss, p. 761; Glauser, op. cit., p. 55). Il convient partant de déterminer l'approche en vue de calculer la reprise par rapport audit véhicule qui, comme il a été vu et comme cela ressort aussi de l'arrêt querellé (qui en a toutefois déduit des conséquences erronées), a été mis à la disposition exclusive de son administrateur et actionnaire unique sans que la recourante n'en retirât un quelconque avantage ni une contre-prestation.</w:t>
      </w:r>
    </w:p>
    <w:p>
      <w:r>
        <w:rPr>
          <w:b/>
        </w:rPr>
        <w:t>E. 8.2.1</w:t>
      </w:r>
    </w:p>
    <w:p>
      <w:r>
        <w:t>Dans son arrêt 2C_645/2012 du 13 février 2013, la Cour de céans a examiné les modalités de calcul de la reprise qui a été effectuée par les autorités inférieures en relation avec l'usage, par l'actionnaire unique d'une société, à des fins également privées, de plusieurs véhicules de haut standing (frais d'acquisition dépassant les 100'000 fr.) acquis par ladite société (consid. 9; cf. aussi arrêt 2P.195/2005 du 16 février 2006 consid. 7.2). En s'appuyant sur une solution élaborée en matière de taxe sur la valeur ajoutée, le Tribunal fédéral a jugé conforme au droit la reprise d'une part relative à l'utilisation privée mensuelle de ces véhicules à 0,8% de leur valeur jusqu'à concurrence de 100'000 fr. et à 0,4% de leur valeur au-delà de cette limite. Tel qu'en convient l'Administration fédérale, cette méthode de reprise n'est pas adaptée au cas d'espèce, car elle se fonde sur une situation dans laquelle il avait été fait un usage privé de véhicules de luxe de manière presque quotidienne. A l'opposé, dans la présente constellation, l'achat du véhicule de luxe par la Société, qui disposait des liquidités nécessaires au moment de la mise sur le marché de ce véhicule de luxe de série limitée, devait permettre, selon les faits constatés, à son actionnaire et administrateur unique non pas tant de s'en servir pour ses déplacements privés réguliers, que d'en disposer en vue d'élargir, à terme, sa collection privée de voitures de marque Ferrari. La faible utilisation du véhicule était motivée par le besoin de rodage du moteur. Une reprise qui s'axerait, même forfaitairement, sur le prix de rendement locatif du véhicule ne tiendrait ainsi pas compte des réalités à la base des prestations appréciables en argent qui étaient ici en jeu, à savoir l'acquisition d'un objet de collection et non d'un véhicule destiné à être utilisé, et aboutirait à une reprise fiscale par hypothèse excessive.</w:t>
      </w:r>
    </w:p>
    <w:p>
      <w:r>
        <w:rPr>
          <w:b/>
        </w:rPr>
        <w:t>E. 8.2.2</w:t>
      </w:r>
    </w:p>
    <w:p>
      <w:r>
        <w:t>Se disant consciente de l'inadéquation in casu de la jurisprudence 2C_645/2012, l'Administration fédérale propose au Tribunal fédéral de suivre la méthode que l'Administration cantonale avait adoptée dans sa première décision sur réclamation du 31 octobre 2011, laquelle n'avait toutefois pas été suivie par le Tribunal cantonal dans son arrêt du 14 août 2012. Celle-ci avait, à l'instar de la solution retenue par l'arrêt précité, retenu l'hypothèse de la mise à disposition onéreuse du véhicule à un tiers. En partant d'un coût de location journalier de la Ferrari Enzo de 12'451 Euros, respectivement mensuel de 298'801 Euros (forfait), le fisc avait toutefois opté, au pro rata temporis , pour la reprise du rendement que les fonds propres mobilisés pour cette acquisition auraient dû, selon elle, générer, tout en tenant compte du fait que le prix d'achat avait été acquitté en quatre tranches par la recourante. Selon l'Administration fédérale, ladite solution aurait le mérite de se baser sur la location qui aurait été payée par un tiers dans le cadre d'une transaction comparable. Pour les mêmes motifs que ceux énoncés en rapport avec la jurisprudence 2C_645/2012, la solution prônée par l'Administration fédérale ne tient cependant pas compte de la réalité économique des opérations d'achat et de vente de la Ferrari Enzo. Se centrant sur la location hypothétique du véhicule (bien que se confinant cette fois-ci aux durées d'utilisation effectives et peu fréquentes de la Ferrari par l'administrateur), cette solution perd en effet de vue le caractère purement secondaire, à des fins de rodage du moteur, de l'utilisation du véhicule, alors que l'automobile était à la vérité destinée à satisfaire le goût privé de l'administrateur de la Société pour la collection de voitures de la marque Ferrari, et, le cas échéant, à lui permettre d'en retirer une plus-value. Il convient partant d'écarter la solution proposée par l'Administration fédérale.</w:t>
      </w:r>
    </w:p>
    <w:p>
      <w:r>
        <w:rPr>
          <w:b/>
        </w:rPr>
        <w:t>E. 8.2.3</w:t>
      </w:r>
    </w:p>
    <w:p>
      <w:r>
        <w:t>Dans une conclusion subsidiaire, la recourante demande quant à elle que la reprise fiscale équivaille à l'intérêt, établi selon les taux-notices publiés par l'Administration fédérale, qui aurait été facturé à l'actionnaire si le prix de la Ferrari Enzo était assimilé à un prêt à l'actionnaire . L'assimilation de l'achat de la Ferrari Enzo à une avance équivalant au prix du véhicule de la Société en faveur de son administrateur et actionnaire unique ferait abstraction des rapports de propriété existant au moment de l'achat, des frais de maintien et entretien du véhicule ayant grevé les comptes de la Société, ainsi que du prix de revente de la Ferrari Enzo, soit un véhicule de collection censé en principe produire une plus-value, au même prix qu'elle l'avait acquise quelques années auparavant. Ces éléments empêchent donc de retenir l'hypothèse d'une simple avance à l'actionnaire, comme le requérait la recourante.</w:t>
      </w:r>
    </w:p>
    <w:p>
      <w:r>
        <w:rPr>
          <w:b/>
        </w:rPr>
        <w:t>E. 8.2.4</w:t>
      </w:r>
    </w:p>
    <w:p>
      <w:r>
        <w:t>L'opération par laquelle la Société a acquis la propriété du véhicule à l'aide de ses propres liquidités, en a aussitôt remis la jouissance exclusive (mais pas la propriété) à Y.________, puis a, en 2005, revendu le véhicule au même prix que celui jadis payé au fournisseur, présente, d'un point de vue économique, des similitudes marquées avec le contrat de vente à crédit . Il s'agit du contrat par lequel la venderesse accepte de mettre l'acheteur en possession de l'objet de la vente (le cas échéant en s'en réservant la propriété), avant que ce dernier n'en ait payé le prix (cf. arrêt 2A.135/2001 du 7 décembre 2001 consid. 4, RDAF 2003 II 23 [sous l'angle de l'ancien art. 226a CO sur la vente à tempérament]). Dans cette hypothèse, les aménagements que la venderesse consent à l'acheteur requièrent toutefois une rémunération particulière de la part de ce dernier, en contre-partie de la renonciation par la première à l'obtention du prix (intégral) lors de la livraison de la chose et du risque financier ainsi encouru (cf. TERCIER/FAVRE, Les contrats spéciaux, 4e éd., 2009, nos 3090 ss p. 453), par exemple, en raison d'une défaillance de paiement par l'acheteur.</w:t>
      </w:r>
    </w:p>
    <w:p>
      <w:r>
        <w:rPr>
          <w:b/>
        </w:rPr>
        <w:t>E. 8.2.5</w:t>
      </w:r>
    </w:p>
    <w:p>
      <w:r>
        <w:t>Le Tribunal fédéral n'est pas en mesure de fixer lui-même les montants définitifs dus en application de la méthode de reprise dégagée auparavant. Il incombera partant aux autorités fiscales d'opérer une reprise qui s'inspire des conditions commerciales applicables dans le genre de rapports contractuels précités. A cet égard, la méthode de reprise dans les comptes de la recourante devra, en particulier, porter sur un taux d'intérêt rémunérateur suffisant, qui intègre à la fois le risque financier encouru par la Société dans le cadre de la mise à disposition du véhicule, telle que consentie avant tout paiement à son actionnaire, et la plus-value envisageable, calculée en fonction du laps de temps durant lequel la Société a conservé la propriété sur la Ferrari Enzo, en cas de revente d'un tel véhicule de collection. L'autorité fiscale veillera de plus à reprendre les frais et autres charges liés à l'utilisation et à l'entretien usuel du véhicule qui ont été, indûment, supportés par la recourante. Les amendes pour (tentative de) soustraction afférentes aux périodes litigieuses seront fixées sur les nouvelles bases ainsi obtenues.</w:t>
      </w:r>
    </w:p>
    <w:p>
      <w:r>
        <w:rPr>
          <w:b/>
        </w:rPr>
        <w:t>E. 8.2.6</w:t>
      </w:r>
    </w:p>
    <w:p>
      <w:r>
        <w:t>Il convient encore de souligner que, compte tenu de l'interdiction de la reformatio in pejus ( art. 107 al. 2 LTF ; en droit fiscal, cf. arrêt 2C_123/2012 du 8 août 2012 consid. 7.3) et étant donné que les autorités fiscales n'ont pas elles-mêmes recouru contre l'arrêt du Tribunal cantonal, l'autorité ne pourra que corriger à la baisse l'imposition en matière d'impôt cantonal et communal de la recourante par rapport au résultat de la méthode préconisée par le Tribunal cantonal dans l'arrêt attaqué (actif fictif); de même, elle ne pourra que modifier en faveur du recourant les amendes fiscales relatives aux périodes litigieuses par rapport aux montants qu'elle aurait dû fixer en application de l'arrêt attaqué. Il sera ajouté qu'il n'est, au vu des éléments à disposition, pas certain que les critères de calcul que le Tribunal fédéral a retenus dans le cadre du présent arrêt s'avéreront défavorables à la recourante; le Tribunal fédéral ne peut donc pas se limiter à confirmer les montants repris dans l'arrêt attaqué, mais devra renvoyer l'affaire aux autorités fiscales en vue du calcul concret selon la méthode de reprise sus-indiquée.</w:t>
      </w:r>
    </w:p>
    <w:p>
      <w:r>
        <w:rPr>
          <w:b/>
        </w:rPr>
        <w:t>E. 9</w:t>
      </w:r>
    </w:p>
    <w:p>
      <w:r>
        <w:t>Les considérants qui précèdent conduisent à admettre le recours s'agissant de l'ICC (cause 2C_589/2013). L'arrêt attaqué du 23 mai 2013 sera partiellement annulé, dans la mesure où il porte sur la reprise et le calcul des amendes pour (tentative de) soustraction d'impôt en lien avec la Ferrari Enzo. Il appartiendra à l'autorité fiscale d'établir diligemment de nouveaux bordereaux sur ces points, en tenant compte de l'interdiction de la reformatio in pejus . Ceux-ci ne constitueront cependant que de simples actes d'exécution de l'arrêt rendu par la Cour de céans. En ce sens, le présent arrêt met un terme à la procédure s'agissant du principe même des rappels d'impôt et des amendes fiscales. Le renvoi à l'Administration cantonale ne concerne plus que le calcul concret des montants dus (cf. arrêt 2C_416/2013 du 5 novembre 2013 consid. 12.2, non publié). En conséquence, il y a lieu de renvoyer la cause directement à l'Administration cantonale ( art. 107 al. 2 LTF in fine) pour qu'elle statue à nouveau, dans le sens des considérants, au sujet de la reprise des frais d'acquisition et de maintien liés à la Ferrari Enzo, et qu'elle adapte les amendes pour (tentative de) soustraction fiscale en conséquence.</w:t>
      </w:r>
    </w:p>
    <w:p>
      <w:r>
        <w:rPr>
          <w:b/>
        </w:rPr>
        <w:t>E. 10</w:t>
      </w:r>
    </w:p>
    <w:p>
      <w:r>
        <w:t>Compte tenu de l'issue du litige, les frais judiciaires seront partagés par moitié par la recourante et par l'intimée, dont l'intérêt patrimonial est en cause ( art. 66 al. 1 et 5 LTF ). La recourante, qui est représentée par une fiduciaire, obtiendra des dépens réduits en application de l'art. 9 du règlement du 31 mars 2006 sur les dépens alloués à la partie adverse et sur l'indemnité pour la représentation d'office dans les causes portées devant le Tribunal fédéral (RS 173.110.210.3; cf. arrêt 2C_546/2013 du 5 décembre 2013 consid. 5), à charge du canton de Vaud; aucun dépens ne sera en revanche alloué à l'intimée ( art. 68 al. 1 et 3 LTF ). Le principe de la reprise est admis, seule la méthode de calcul de cette reprise doit être modifiée par rapport à celle retenue par les juges cantonaux et il n'est pas certain qu'elle s'avère plus favorable à la recourante. En pareilles circonstances, il n'y a pas lieu de modifier l'arrêt attaqué s'agissant des frais et dépens de la procédure cantonale, qui sera donc confirmé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