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587/2014 vom 21. Juni 2014</w:t>
      </w:r>
    </w:p>
    <w:p>
      <w:r>
        <w:t>Bundesgericht, 2014-06-21, IT</w:t>
      </w:r>
    </w:p>
    <w:p>
      <w:r>
        <w:rPr>
          <w:b/>
        </w:rPr>
        <w:t xml:space="preserve">Quelle: </w:t>
      </w:r>
      <w:r>
        <w:t>https://mcp.opencaselaw.ch/entscheid/bger_2C_587_2014</w:t>
      </w:r>
    </w:p>
    <w:p>
      <w:r>
        <w:t>FR: TF 2C 587/2014 du 21 juin 2014</w:t>
      </w:r>
    </w:p>
    <w:p>
      <w:r>
        <w:t>IT: TF 2C 587/2014 del 21 giugno 2014</w:t>
      </w:r>
    </w:p>
    <w:p>
      <w:pPr>
        <w:pStyle w:val="Heading2"/>
      </w:pPr>
      <w:r>
        <w:t>Regeste</w:t>
      </w:r>
    </w:p>
    <w:p>
      <w:r>
        <w:t>revoca del permesso di dimora CE/AELS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137 I 371 consid. 1 pag. 372 e rinvio).</w:t>
      </w:r>
    </w:p>
    <w:p>
      <w:r>
        <w:rPr>
          <w:b/>
        </w:rPr>
        <w:t>E. 1.2</w:t>
      </w:r>
    </w:p>
    <w:p>
      <w:r>
        <w:t>Presentato in tempo utile ( art. 100 cpv. 1 LTF ) dal destinatario della decisione querelata ( art. 89 cpv. 1 LTF ), il gravame è di principio ammissibile quale ricorso in materia di diritto pubblico (art. 82 segg. LTF), in quanto concerne la revoca di un permesso che avrebbe altrimenti ancora effetti giuridici (art. 83 lett. c n. 2 LTF; sentenza 2C_341/2012 del 19 aprile 2012 consid. 1). Non occorre pertanto chiedersi se la ricevibilità sia data anche in virtù di altre norme.</w:t>
      </w:r>
    </w:p>
    <w:p>
      <w:r>
        <w:rPr>
          <w:b/>
        </w:rPr>
        <w:t>E. 2.1</w:t>
      </w:r>
    </w:p>
    <w:p>
      <w:r>
        <w:t>Conformemente all' art. 42 LTF il ricorso deve contenere le conclusioni, i motivi e l'indicazione dei mezzi di prova (cpv. 1) e dev'essere motivato in modo sufficiente, spiegando nei motivi perché l'atto impugnato viola il diritto (cpv. 2; DTF 134 II 244 consid. 2.1 pag. 245; 133 II 249 consid. 1.4.1 pag. 254). Nell'allegato ricorsuale occorre quindi indicare in maniera concisa perché l'atto impugnato viola il diritto applicabile; la motivazione deve essere riferita all'oggetto del litigio, in modo che si capisca perché e su quali punti la decisione contestata è impugnata ( DTF 134 II 244 consid. 2.1 pag. 245). Ciò significa che la parte ricorrente non può limitarsi a riproporre genericamente argomenti giuridici già esposti dinanzi alle autorità cantonali, bensì deve confrontarsi criticamente con i considerandi della decisione dell'autorità inferiore che reputa lesivi del diritto (cfr. DTF 121 III 397 consid. 2a pag. 400).</w:t>
      </w:r>
    </w:p>
    <w:p>
      <w:r>
        <w:rPr>
          <w:b/>
        </w:rPr>
        <w:t>E. 2.2</w:t>
      </w:r>
    </w:p>
    <w:p>
      <w:r>
        <w:t>In concreto, l'allegato ricorsuale si esaurisce in una serie di precisazioni puntuali sulla situazione del ricorrente. Non si confronta invece con l'esauriente argomentazione sviluppata dal Tribunale amministrativo cantonale (cfr. sentenza impugnata consid. 2 segg., pag. 4 a 12), segnatamente non contiene precise ed esaustive considerazioni di natura giuridica che espongano quali disposizioni legali sarebbero violate e in cosa consisterebbe la lesione del diritto applicabile (art. 95 segg. LTF). Il ricorso, che non contiene una motivazione topica riferita al tema della causa, si rivela quindi inammissibile e può essere deciso sulla base della procedura semplificata dell' art. 108 cpv. 1 lett. b LTF .</w:t>
      </w:r>
    </w:p>
    <w:p>
      <w:r>
        <w:rPr>
          <w:b/>
        </w:rPr>
        <w:t>E. 2.3</w:t>
      </w:r>
    </w:p>
    <w:p>
      <w:r>
        <w:t>Le spese seguono la soccombenza ( art. 66 cpv. 1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