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2C_585/2011 vom 20. September 2011</w:t>
      </w:r>
    </w:p>
    <w:p>
      <w:r>
        <w:t>Bundesgericht, 2011-09-20, FR</w:t>
      </w:r>
    </w:p>
    <w:p>
      <w:r>
        <w:rPr>
          <w:b/>
        </w:rPr>
        <w:t xml:space="preserve">Quelle: </w:t>
      </w:r>
      <w:r>
        <w:t>https://mcp.opencaselaw.ch/entscheid/bger_2C_585_2011</w:t>
      </w:r>
    </w:p>
    <w:p>
      <w:r>
        <w:t>FR: TF 2C_585/2011 du 20 septembre 2011</w:t>
      </w:r>
    </w:p>
    <w:p>
      <w:r>
        <w:t>IT: TF 2C_585/2011 del 20 settembre 2011</w:t>
      </w:r>
    </w:p>
    <w:p>
      <w:pPr>
        <w:pStyle w:val="Heading2"/>
      </w:pPr>
      <w:r>
        <w:t>Erwägungen</w:t>
      </w:r>
    </w:p>
    <w:p>
      <w:r>
        <w:rPr>
          <w:b/>
        </w:rPr>
        <w:t>E. 1.1</w:t>
      </w:r>
    </w:p>
    <w:p>
      <w:r>
        <w:t>La cause relève du droit public ( art. 82 let. a LTF ). L'arrêt attaqué émane d'un tribunal cantonal supérieur statuant en dernière instance, sans qu'un recours auprès du Tribunal administratif fédéral ne soit ouvert ( art. 86 al. 1 let . d et al. 2 LTF). Il peut donc en principe faire l'objet d'un recours en matière de droit public au Tribunal fédéral, à condition qu'il ne tombe pas sous le coup de l'une des exceptions prévues à l' art. 83 LTF , en particulier l' art. 83 let . f LTF. Selon cette disposition, le recours en matière de droit public n'est recevable contre les décisions en matière de marchés publics qu'à deux conditions, soit si la valeur du mandat à attribuer est supérieure ou égale aux seuils déterminants prévus à cet effet et si, cumulativement, la décision attaquée soulève une question juridique de principe ( ATF 134 II 192 consid. 1.2 p. 194 s.). Il incombe à la partie recourante, sous peine d'irrecevabilité, de démontrer la réalisation de ces deux conditions ( art. 42 al. 2 LTF ; cf. ATF 133 II 396 consid. 2.2 p. 398 s.), ce que les recourantes n'ont pas fait, de sorte que leur recours en matière de droit public est irrecevable. En revanche, leur mémoire est en principe recevable comme recours constitutionnel subsidiaire aux conditions des art. 113 ss LTF .</w:t>
      </w:r>
    </w:p>
    <w:p>
      <w:r>
        <w:rPr>
          <w:b/>
        </w:rPr>
        <w:t>E. 1.2</w:t>
      </w:r>
    </w:p>
    <w:p>
      <w:r>
        <w:t>Le recours constitutionnel subsidiaire peut être formé pour violation des droits constitutionnels ( art. 116 LTF ). Le Tribunal fédéral n'examine toutefois la violation des droits fondamentaux ainsi que celle de dispositions de droit cantonal et intercantonal que si ce grief a été invoqué et motivé par le recourant ( art. 106 al. 2 LTF par renvoi de l' art. 117 LTF ). Pour le surplus, le Tribunal fédéral statue sur la base des faits établis par l'autorité précédente ( art. 118 al. 1 LTF ). Il peut néanmoins rectifier ou compléter les constatations de l'autorité précédente si les faits ont été établis en violation du droit au sens de l' art. 116 LTF ( art. 118 al. 2 LTF ).</w:t>
      </w:r>
    </w:p>
    <w:p>
      <w:r>
        <w:rPr>
          <w:b/>
        </w:rPr>
        <w:t>E. 2</w:t>
      </w:r>
    </w:p>
    <w:p>
      <w:r>
        <w:t>Invoquant l' art. 29 al. 1 Cst. , les recourantes se plaignent de formalisme excessif.</w:t>
      </w:r>
    </w:p>
    <w:p>
      <w:r>
        <w:rPr>
          <w:b/>
        </w:rPr>
        <w:t>E. 2.1</w:t>
      </w:r>
    </w:p>
    <w:p>
      <w:r>
        <w:t>La jurisprudence a tiré de l' art. 29 al. 1 Cst. le principe de l'interdiction du déni de justice formel qui comprend la prohibition de tout formalisme excessif. Un tel formalisme existe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Le Tribunal fédéral examine librement ce grief ( ATF 130 V 177 consid. 5.4.1 p. 183/184; 128 II 139 consid. 2a p. 142 et les arrêts cités). En tant qu'il sanctionne un comportement répréhensible de l'autorité dans ses relations avec le justiciable, l'interdiction du formalisme excessif poursuit le même but que le principe de la bonne foi ( art. 9 Cst. ). A cet égard, il commande à l'autorité d'éviter de sanctionner par l'irrecevabilité les vices de procédure aisément reconnaissables qui auraient pu être redressés à temps, lorsque celle-ci pouvait s'en rendre compte assez tôt et les signaler utilement au plaideur ( ATF 125 I 166 consid. 3a p. 170; 124 II 265 consid. 4a p. 270 et la jurisprudence citée).</w:t>
      </w:r>
    </w:p>
    <w:p>
      <w:r>
        <w:rPr>
          <w:b/>
        </w:rPr>
        <w:t>E. 2.2</w:t>
      </w:r>
    </w:p>
    <w:p>
      <w:r>
        <w:t>Les recourantes se plaignent de formalisme excessif dans l'application des art. 48 et 49 de la loi valaisanne du 6 octobre 1976 sur la procédure et la juridiction administratives (LPJA/VS; RSVS 172.6). L'art. 48 LPJA/VS prévoit que le recours est adressé par écrit à l'autorité compétente en autant de doubles qu'il y a d'intéressés, que le mémoire contient un exposé concis des faits, des motifs accompagnés des moyens de preuve, ainsi que des conclusions. Il est daté et signé par le recourant ou son mandataire. La décision attaquée et les documents servant de moyens de preuve, en possession du recourant, sont joints au mémoire. L'art. 49 LPJA/VS prévoit quant à lui que, si le recours ne satisfait pas aux exigences qui précèdent, ou si les conclusions ou les motifs du recourant n'ont pas la clarté nécessaire, sans que le recours soit manifestement irrecevable, l'autorité impartit au recourant un court délai supplémentaire pour rectifier son mémoire.</w:t>
      </w:r>
    </w:p>
    <w:p>
      <w:r>
        <w:rPr>
          <w:b/>
        </w:rPr>
        <w:t>E. 2.3</w:t>
      </w:r>
    </w:p>
    <w:p>
      <w:r>
        <w:t>Elles soutiennent qu'en accordant l'effet suspensif le 27 avril 2011 et en demandant des précisions supplémentaires sur la recevabilité du recours, le Tribunal cantonal a considéré que le recours n'était pas manifestement irrecevable et qu'il avait tout au plus un doute sur la désignation de la partie recourante. Dans ces conditions, il aurait dû impartir un court délai supplémentaire pour rectifier le mémoire qui était au surplus dûment signé comme l'exigeait l'art. 48 al. 2 LPJA/VS.</w:t>
      </w:r>
    </w:p>
    <w:p>
      <w:r>
        <w:rPr>
          <w:b/>
        </w:rPr>
        <w:t>E. 2.4</w:t>
      </w:r>
    </w:p>
    <w:p>
      <w:r>
        <w:t>En l'espèce, la question de savoir si l'instance précédente devait impartir un délai supplémentaire peut demeurer ouverte du moment que les recourantes ont produit par retour du courrier les invitant à se prononcer sur la recevabilité de leur recours deux procurations signées par H.________ et I.________, chargeant A.X.________ SA, de les représenter "pour le recours que nous désirons déposer". Le doute sur la désignation des recourantes, qui n'était pas manifeste au vu des actes de procédure effectués par l'instance précédente, étant levé, celle-ci ne pouvait pas, sans tomber dans un formalisme excessif, déclarer irrecevable le recours déposé par A.X.________ SA contre la décision d'adjudication du 17 mars 2011.</w:t>
      </w:r>
    </w:p>
    <w:p>
      <w:r>
        <w:rPr>
          <w:b/>
        </w:rPr>
        <w:t>E. 3</w:t>
      </w:r>
    </w:p>
    <w:p>
      <w:r>
        <w:t>Le recours considéré comme recours constitutionnel subsidiaire est admis. En application des art. 107 al. 2 et 117 LTF , le Tribunal fédéral annule l'arrêt rendu le 9 juin 2011 par le Tribunal cantonal, déclare recevable le recours interjeté le 21 avril 2011 contre la décision d'adjudication du 17 mars 2011 et renvoie la cause à l'instance précédente pour examen sur le fond. La requête d'effet suspensif est devenue sans objet.</w:t>
      </w:r>
    </w:p>
    <w:p>
      <w:r>
        <w:t>Succombant, A.Y.________ Sàrl, B.Y.________ SA et C.Y.________ SA, ainsi que l'Association des communes de D.________, en tant qu'entité adjudicatrice dont l'intérêt patrimonial est en cause, doivent supporter un émolument judiciaire ( art. 65 et 66 LTF ). N'étant pas représentés par un mandataire professionnel, les recourants, qui ont gain de cause,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