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578/2016 vom 27. Juni 2016</w:t>
      </w:r>
    </w:p>
    <w:p>
      <w:r>
        <w:t>Bundesgericht, 2016-06-27, FR</w:t>
      </w:r>
    </w:p>
    <w:p>
      <w:r>
        <w:rPr>
          <w:b/>
        </w:rPr>
        <w:t xml:space="preserve">Quelle: </w:t>
      </w:r>
      <w:r>
        <w:t>https://mcp.opencaselaw.ch/entscheid/bger_2C_578_2016</w:t>
      </w:r>
    </w:p>
    <w:p>
      <w:r>
        <w:t>FR: TF 2C 578/2016 du 27 juin 2016</w:t>
      </w:r>
    </w:p>
    <w:p>
      <w:r>
        <w:t>IT: TF 2C 578/2016 del 27 giugno 2016</w:t>
      </w:r>
    </w:p>
    <w:p>
      <w:pPr>
        <w:pStyle w:val="Heading2"/>
      </w:pPr>
      <w:r>
        <w:t>Regeste</w:t>
      </w:r>
    </w:p>
    <w:p>
      <w:r>
        <w:t>Consultation du dossier pénal par l'autorité fiscale | Finances publiques &amp; droit fiscal</w:t>
      </w:r>
    </w:p>
    <w:p>
      <w:pPr>
        <w:pStyle w:val="Heading2"/>
      </w:pPr>
      <w:r>
        <w:t>Erwägungen</w:t>
      </w:r>
    </w:p>
    <w:p>
      <w:r>
        <w:rPr>
          <w:b/>
        </w:rPr>
        <w:t>E. 1</w:t>
      </w:r>
    </w:p>
    <w:p>
      <w:r>
        <w:t>Par ordonnance du 19 mai 2016, le Juge unique du Tribunal cantonal du canton du Valais a rejeté le recours que X.________ a déposé contre l'ordonnance de l'Office central du ministère public du canton du Valais du 23 février 2016 qui autorisait le Service cantonal des contributions à consulter le dossier pénal enregistré sous le numéro d'ordre MPG 2014 10324. Il a jugé, d'une part, que les art. 101 al. 2 CPP , 112 de la loi fédérale du 14 décembre 1990 sur l'impôt fédéral direct (LIFD; RS 642.11) et 39 al. 3 de la loi fédérale sur l'harmonisation des impôts directs des cantons et des communes (LHID; RS 642.14) autorisaient la consultation du dossier pénal par les autorités fiscales, qui en avaient fait la requête le 15 janvier 2016 parce qu'elles avaient eu connaissance de faits suffisants à cet effet par le biais de la presse et, d'autre part, que l' art. 302 al. 1 CPP faisait obligation aux autorités pénales de dénoncer aux autorités compétentes toutes les infractions qu'elles ont constatées dans l'exercice de leurs fonctions, telles qu'en l'espèce, l'aveu de détention par le contribuable poursuivi d'un compte bancaire non déclaré, de manière que le recourant n'avait rien à espérer de ce point de vue.</w:t>
      </w:r>
    </w:p>
    <w:p>
      <w:r>
        <w:rPr>
          <w:b/>
        </w:rPr>
        <w:t>E. 2</w:t>
      </w:r>
    </w:p>
    <w:p>
      <w:r>
        <w:t>Agissant par la voie du recours en matière de droit public et parallèlement par celle du recours en matière pénale, X.________ demande au Tribunal fédéral, au moins implicitement, de réformer l'ordonnance rendue le 19 mai 2016 par le Juge unique du Tribunal cantonal du canton du Valais en ce sens que l'ordonnance de l'Office central du ministère public du canton du Valais du 23 février 2016 qui autorisait le Service cantonal des contributions à consulter le dossier pénal enregistré sous le numéro d'ordre MPG 2014 10324 est annulée, subsidiairement de restreindre l'accès au dossier aux seuls points nécessaires pour informer le Service cantonal des contributions. Il se plaint de la violation des art. 101 al. 2 CPP , 110 al. 1, 112 al. 1 LIFD et 39 al. 3 LHID.</w:t>
      </w:r>
    </w:p>
    <w:p>
      <w:r>
        <w:rPr>
          <w:b/>
        </w:rPr>
        <w:t>E. 3</w:t>
      </w:r>
    </w:p>
    <w:p>
      <w:r>
        <w:t>En présence, comme en l'espèce, d'un arrêt qui repose sur une double motivation dont chacun des pans suffit à sceller le sort de la cause (tardiveté et défaut de motivation), la jurisprudence exige, sous peine d'irrecevabilité, que le recourant s'en prenne à tous les motifs ( ATF 138 III 728 consid. 3.4). Il suffit par conséquent de constater que le recourant ne formule aucun grief contre l'application par l'instance précédente de l' art. 302 al. 1 CPP . Au demeurant, à supposer que le recours ait été recevable, il aurait dû être rejeté pour les mêmes raisons que celles exposées par l'instance précédente dans l'ordonnance attaquée en application des art. 112 al. 1 LIFD et 39 al. 3 LHID.</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