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2C_576/2009 vom 24. Februar 2010</w:t>
      </w:r>
    </w:p>
    <w:p>
      <w:r>
        <w:t>Bundesgericht, 2010-02-24, FR</w:t>
      </w:r>
    </w:p>
    <w:p>
      <w:r>
        <w:rPr>
          <w:b/>
        </w:rPr>
        <w:t xml:space="preserve">Quelle: </w:t>
      </w:r>
      <w:r>
        <w:t>https://mcp.opencaselaw.ch/entscheid/bger_2C_576_2009</w:t>
      </w:r>
    </w:p>
    <w:p>
      <w:r>
        <w:t>FR: TF 2C_576/2009 du 24 février 2010</w:t>
      </w:r>
    </w:p>
    <w:p>
      <w:r>
        <w:t>IT: TF 2C_576/2009 del 24 febbraio 2010</w:t>
      </w:r>
    </w:p>
    <w:p>
      <w:pPr>
        <w:pStyle w:val="Heading2"/>
      </w:pPr>
      <w:r>
        <w:t>Erwägungen</w:t>
      </w:r>
    </w:p>
    <w:p>
      <w:r>
        <w:rPr>
          <w:b/>
        </w:rPr>
        <w:t>E. 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Etant particulièrement atteinte par l'arrêt attaqué et ayant un intérêt digne de protection à sa modification, la recourante a qualité pour recourir ( art. 89 LTF ).</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du 14 décembre 1990 sur l'harmonisation des impôts directs des cantons et des communes (LHID, loi fédérale sur l'harmonisation fiscale; RS 642.14).</w:t>
      </w:r>
    </w:p>
    <w:p>
      <w:r>
        <w:t>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 cas,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sur l'importance de l'abattement applicable à la valeur fiscale, au titre de l'impôt sur la fortune des personnes physiques des années 2003 et 2004 du canton de Genève, de deux immeubles appartenant à la recourante.</w:t>
      </w:r>
    </w:p>
    <w:p>
      <w:r>
        <w:rPr>
          <w:b/>
        </w:rPr>
        <w:t>E. 3.1</w:t>
      </w:r>
    </w:p>
    <w:p>
      <w:r>
        <w:t>Réglé aux art. 13 et 14 LHID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w:t>
      </w:r>
    </w:p>
    <w:p>
      <w:r>
        <w:t>La loi sur l'harmonisation fiscale ne prescrivant pas au législateur cantonal une méthode d'évaluation précise pour déterminer cette valeur, les cantons disposent en la matière d'une marge de manoeuvre importante pour élaborer et appliquer leur réglementation. Les cantons ne peuvent toutefois pas prévoir de règles d'évaluation tendant de manière générale à une sur- ou sous-estimation des immeubles, par exemple en instituant un abattement automatique de leur valeur vénale pour en déterminer la valeur fiscale, ou en fondant l'imposition sur un pour-cent de la valeur vénale (cf. sur ces questions: ATF 134 II 207 consid. 3.6 p. 214; 131 I 291 consid. 3.2.2 p. 307 s.; 128 I 240 consid. 3.2.3 et 3.2.4 p. 249 s.). Le Tribunal fédéral a notamment jugé qu'une disposition de droit fiscal cantonal qui fixait à 60%, "en règle générale", la valeur imposable des immeubles au titre de l'impôt sur la fortune, était contraire à l'article 14 al. 1 LHID, qui s'en tenait, sous réserve d'exceptions non pertinentes en l'espèce, à la valeur vénale, et n'admettait donc pas une "réduction" générale de celle-ci à 60% ( ATF 124 I 145 consid. 6b et 6c p. 158 s.).</w:t>
      </w:r>
    </w:p>
    <w:p>
      <w:r>
        <w:rPr>
          <w:b/>
        </w:rPr>
        <w:t>E. 3.2</w:t>
      </w:r>
    </w:p>
    <w:p>
      <w:r>
        <w:t>Dans le canton de Genève,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(al. 3). Les immeubles situés dans le canton sont estimés d'après l'art. 7 LIPP-III dont la teneur est la suivante:</w:t>
      </w:r>
    </w:p>
    <w:p>
      <w:r>
        <w:t>Art. 7 Immeubles</w:t>
      </w:r>
    </w:p>
    <w:p>
      <w:r>
        <w:t>I. Principe d'estimation; II. Expertises</w:t>
      </w:r>
    </w:p>
    <w:p>
      <w:r>
        <w:t>L'évaluation des immeubles situés dans le canton est faite d'après les principes suivants:</w:t>
      </w:r>
    </w:p>
    <w:p>
      <w:r>
        <w:t>[...]</w:t>
      </w:r>
    </w:p>
    <w:p>
      <w:r>
        <w:t>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w:t>
      </w:r>
    </w:p>
    <w:p>
      <w:r>
        <w:t>Cette estimation est diminuée de 4% par année d'occupation continue par le même propriétaire ou usufruitier, jusqu'à concurrence de 40%.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s?urs. [...]</w:t>
      </w:r>
    </w:p>
    <w:p>
      <w:r>
        <w:rPr>
          <w:b/>
        </w:rPr>
        <w:t>E. 3.3</w:t>
      </w:r>
    </w:p>
    <w:p>
      <w:r>
        <w:t>Comme la loi sur l'harmonisation fiscale laisse une marge de manoeuvre importante au législateur cantonal en matière d'estimation de la valeur fiscale des immeubles (cf. consid. 3.1 ci-dessus), le Tribunal fédéral ne peut se saisir que des griefs motivés conformément aux exigences de l' art. 106 al. 2 LTF (cf. consid. 2.1 ci-dessus). Le Tribunal fédéral doit par conséquent s'en tenir aux seuls griefs énoncés par la recourante, qui ne portent pas sur la comptabilité de l'abattement automatique prévu par l'art. 7 LIPP-III avec l' art. 14 LHID , que le Tribunal administratif n'a du reste lui-même pas non plus examinée.</w:t>
      </w:r>
    </w:p>
    <w:p>
      <w:r>
        <w:rPr>
          <w:b/>
        </w:rPr>
        <w:t>E. 4</w:t>
      </w:r>
    </w:p>
    <w:p>
      <w:r>
        <w:t>Invoquant l' art. 127 Cst. , la recourante reproche au Tribunal administratif d'avoir violé le droit cantonal et par conséquent de porter atteinte à ses droits fondamentaux que sont le principe de la légalité et le droit à l'égalité.</w:t>
      </w:r>
    </w:p>
    <w:p>
      <w:r>
        <w:rPr>
          <w:b/>
        </w:rPr>
        <w:t>E. 4.1</w:t>
      </w:r>
    </w:p>
    <w:p>
      <w:r>
        <w:t>Selon l' art. 127 al. 1 Cst. , les principes généraux régissant le régime fiscal, notamment la qualité de contribuable, l'objet de l'impôt et son mode de calcul, sont définis par la loi. L' art. 127 al. 2 Cst. prévoit que, dans la mesure où la nature de l'impôt le permet, les principes de l'universalité, de l'égalité de traitement et de la capacité économique doivent, en particulier, être respectés.</w:t>
      </w:r>
    </w:p>
    <w:p>
      <w:r>
        <w:rPr>
          <w:b/>
        </w:rPr>
        <w:t>E. 4.2</w:t>
      </w:r>
    </w:p>
    <w:p>
      <w:r>
        <w:t>Les dispositions d'impôt cantonal sur la fortune immobilière, dont se réclame la recourante, se trouvent à l' art. 7 let . e LIPP-III. Il n'est pas contesté que la loi cantonale du 22 septembre 2000 sur l'imposition des personnes physiques - Impôt sur la fortune est une loi cantonale au sens formel, de sorte que les griefs de violation du principe de la légalité et du droit à l'égalité formulés par la recourante se confondent avec le grief de violation de l'interdiction de l'arbitraire dans l'interprétation et l'application du droit cantonal (sur cette notion: ATF 135 V 2 consid. 1.3, p. 4 s.).</w:t>
      </w:r>
    </w:p>
    <w:p>
      <w:r>
        <w:rPr>
          <w:b/>
        </w:rPr>
        <w:t>E. 4.3</w:t>
      </w:r>
    </w:p>
    <w:p>
      <w:r>
        <w:t>Dans l'arrêt attaqué, le Tribunal administratif a jugé que l' art. 7 let . e LIPP-III ne conférait pas à la recourante le droit de bénéficier de l'abattement de 40%, puisqu'elle occupait de manière effective un autre immeuble que celui pour lequel elle réclamait l'abattement. Il a encore ajouté que l'institution du remploi en matière d'impôt cantonal sur les bénéfices et les gains immobiliers impliquait une aliénation et qu'une telle aliénation était inexistante dans le cas de la recourante qui avait conservé son immeuble de A.________ tout en déménageant dans son immeuble de B.________.</w:t>
      </w:r>
    </w:p>
    <w:p>
      <w:r>
        <w:rPr>
          <w:b/>
        </w:rPr>
        <w:t>E. 4.4</w:t>
      </w:r>
    </w:p>
    <w:p>
      <w:r>
        <w:t>Dans son mémoire, la recourante se borne à opposer son point de vue à celui du Tribunal administratif sur l'interprétation et l'application du droit cantonal sans exposer concrètement en quoi la solution adoptée dans l'arrêt attaqué serait insoutenable dans sa motivation et arbitraire dans son résultat ( ATF 131 I 57 consid. 2 p. 61 et la jurisprudence citée). Ne répondant pas aux exigences de motivation de l' art. 106 al. 2 LTF , les griefs de la recourante sont irrecevables.</w:t>
      </w:r>
    </w:p>
    <w:p>
      <w:r>
        <w:rPr>
          <w:b/>
        </w:rPr>
        <w:t>E. 5</w:t>
      </w:r>
    </w:p>
    <w:p>
      <w:r>
        <w:t>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