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574/2024 vom 2. Dezember 2024</w:t>
      </w:r>
    </w:p>
    <w:p>
      <w:r>
        <w:t>Bundesgericht, 2024-12-02, IT</w:t>
      </w:r>
    </w:p>
    <w:p>
      <w:r>
        <w:rPr>
          <w:b/>
        </w:rPr>
        <w:t xml:space="preserve">Quelle: </w:t>
      </w:r>
      <w:r>
        <w:t>https://mcp.opencaselaw.ch/entscheid/bger_2C_574_2024</w:t>
      </w:r>
    </w:p>
    <w:p>
      <w:r>
        <w:t>FR: TF 2C 574/2024 du 2 décembre 2024</w:t>
      </w:r>
    </w:p>
    <w:p>
      <w:r>
        <w:t>IT: TF 2C 574/2024 del 2 dicembre 2024</w:t>
      </w:r>
    </w:p>
    <w:p>
      <w:pPr>
        <w:pStyle w:val="Heading2"/>
      </w:pPr>
      <w:r>
        <w:t>Regeste</w:t>
      </w:r>
    </w:p>
    <w:p>
      <w:r>
        <w:t>permesso per frontalieri UE/ AELS | Cittadinanza e diritto degli stranieri</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persona con un interesse legittimo e attuale ad insorgere ( art. 89 cpv. 1 LTF ), di modo che va esaminata quale ricorso in materia di diritto pubblico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rPr>
          <w:b/>
        </w:rPr>
        <w:t>E. 3.1</w:t>
      </w:r>
    </w:p>
    <w:p>
      <w:r>
        <w:t>Al pari del Consiglio di Stato ticinese, la Corte cantonale ha tutelato l'agire delle autorità migratorie, che avevano revocato al ricorrente il permesso per frontalieri UE/AELS. Esposto il quadro legale di riferimento e fatto rinvio agli atti, anch'essa ha infatti concluso: (a) che la B.________ Sagl non aveva una propria operatività effettiva, ma andava considerata una ramificazione su suolo svizzero della società italiana C.________ SRL, con sede legale a X.________ (I) e sede operativa a V.________ (I); (b) che le condizioni per riconoscere il diritto a un permesso per frontalieri UE/AELS a una persona che indicava la B.________ Sagl quale datrice di lavoro in Svizzera non erano adempiute e il permesso a suo tempo concesso doveva essere revocato (giudizio impugnato, consid. 2-5).</w:t>
      </w:r>
    </w:p>
    <w:p>
      <w:r>
        <w:rPr>
          <w:b/>
        </w:rPr>
        <w:t>E. 3.2</w:t>
      </w:r>
    </w:p>
    <w:p>
      <w:r>
        <w:t>L'insorgente non concorda con il giudizio del Tribunale amministrativo ticinese perché, a suo avviso, lede "su più aspetti il diritto (art. 95 lett. a/c LTF) ed accerta in modo manifestamente inesatto ed in violazione del diritto fatti assolutamente determinanti per l'esito del procedimento ( art. 97 cpv. 1 LTF ) " (ricorso, p.to II 6 pag. 6).</w:t>
      </w:r>
    </w:p>
    <w:p>
      <w:r>
        <w:rPr>
          <w:b/>
        </w:rPr>
        <w:t>E. 4.1</w:t>
      </w:r>
    </w:p>
    <w:p>
      <w:r>
        <w:t>L' art. 7 cpv. 1 allegato I ALC definisce il lavoratore dipendente frontaliero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 Quando le condizioni per il rilascio non sono (più) adempiute, il permesso per frontalieri UE/AELS rilasciato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 di servizi distaccati" (menzionate istruzioni, punto 4.2.1, pag. 37-38). 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 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Nel merito, l'insorgente sostiene che la Corte cantonale abbia applicato le istruzioni della Segreteria di Stato della migrazione "in modo contrario al diritto, violando in particolare il principio della parità di trattamento e, non da ultimo, il principio costituzionale della libertà di commercio" (ricorso, p.to II 9 pag. 8). Tale affermazione non è però accompagnata da nessuna argomentazione specifica, atta a dimostrare l'effettiva violazione dei citati diritti fondamentali, ragione per cui non va approfondita ( art. 106 cpv. 2 LTF ; precedente consid. 2.1; sentenza 2C_497/2023 dell'8 gennaio 2024 consid. 5.1). Da una lettura del gravame risulta del resto che esso non contesta l'impostazione giuridica data al caso, che è corretta ed è stata confermata anche in procedure recenti (sentenze 2C_496/2023 del 5 ottobre 2023 consid. 5.1; 2C_897/2022 del 6 settembre 2023 consid. 4), ma solleva piuttosto critiche all'apprezzamento delle prove - che sarebbe stato svolto valutando "in modo lacunoso le emergenze istruttorie" (ricorso, p.to II 10 pag. 13) - e pone quindi questioni di fatto, che il Tribunale federale rivede nell'ottica del divieto d'arbitrio (sentenze 2C_497/2023 dell'8 gennaio 2024 consid. 5.1; 2C_496/2023 del 5 ottobre 2023 consid. 5.1; 2C_185/2023 del 28 agosto 2023 consid. 7.2).</w:t>
      </w:r>
    </w:p>
    <w:p>
      <w:r>
        <w:rPr>
          <w:b/>
        </w:rPr>
        <w:t>E. 5.2</w:t>
      </w:r>
    </w:p>
    <w:p>
      <w:r>
        <w:t>Nell'impugnativa presentata davanti al Tribunale federale, una violazione dell' art. 9 Cost. non è però dimostrata, perché il ricorrente si limita a fornire una propria lettura della fattispecie e a contrapporla a quella contenuta nella sentenza impugnata, ciò che non basta. 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non può limitarsi ad affermare l'arbitrio - come fa anche l'insorgente, che lo definisce "evidente" - ma deve argomentare, per ogni accertamento criticato, in che modo le prove avrebbero dovuto essere valutate, perché l'apprezzamento dell'autorità sia insostenibile e in che misura la lesione invocata sarebbe suscettibile d'avere influenza sull'esito del litigio nel suo complesso ( DTF 143 IV 500 consid. 1.1; sentenza 2C_496/2023 del 5 ottobre 2023 consid. 5.2).</w:t>
      </w:r>
    </w:p>
    <w:p>
      <w:r>
        <w:rPr>
          <w:b/>
        </w:rPr>
        <w:t>E. 5.3</w:t>
      </w:r>
    </w:p>
    <w:p>
      <w:r>
        <w:t>D'altro canto, alla luce degli accertamenti svolti dalla Corte cantonale, che vincolano il Tribunale federale ( art. 105 cpv. 1 LTF ), nemmeno si può ravvisare una lesione dell' art. 7 allegato I ALC nell'avere revocato all'insorgente il permesso per frontalieri UE/AELS, dopo aver constatato l'assenza di un'attività, reale, effettiva e duratura in Svizzera da parte della B.________ Sagl, che possa essere considerata indipendente da quella della della C.________ SRL, con sede legale a X.________ (I) e sede operativa a V.________ (I). Da questi accertamenti e dall'estratto del registro di commercio - apprezzati nel loro complesso, e non solo singolarmente, come fatto nel ricorso - emerge infatti (giudizio impugnato, consid. B, 4.1 e 4.2) : (a) che la B.________ Sagl, fondata nel... con sede a W.________, e la C.________ SRL, con sede legale a X.________ (I) e sede operativa a V.________ (Varese-I), operano in sostanza nello stesso settore, occupandosi di lavorazioni meccaniche di precisione per conto terzi, attraverso l'impiego di tecnici esperti; (b) che le quote della B.________ Sagl sono detenute da A.________ (fr. 4'000.--, col ruolo di gerente) e da E.________ (fr. 16'000.--, col ruolo di presidente della gerenza), ovvero da una persona che è dipendente di entrambe le società (A.________) e da una persona che lavora all'80 % quale direttore commerciale della B.________ Sagl, con un totale di quattro dipendenti, ma che è pure proprietaria e amministratore unico della C.________ SRL, con un totale di 25 dipendenti (E.________); (c) che sia A.________ sia E.________ sia D.________, oggetto delle procedure di revoca sfociate nel giudizio impugnato, vivono a V.________, in provincia di Varese (I), dove si trova la sede operativa della C.________ SRL; (d) che, contrariamente alla C.________ SRL, la quale dispone in Italia di uffici propri e di un capannone, la B.________ Sagl non possiede su territorio ticinese nessuna infrastruttura specifica (ufficio proprio, magazzino o veicoli che le siano intestati) e nemmeno un recapito telefonico diretto, perché la società è raggiungibile attraverso la F.________ SA, presso la quale ha sede; (e) che la B.________ Sagl ha un solo cliente, cioè la G.________ Sagl, con sede a Z.________ (TI), già cliente della C.________ SRL, che la serviva in precedenza attraverso dei dipendenti distaccati; (f) che, contrariamente alla C.________ SRL, la B.________ Sagl non fa capo a internet, al fine di pubblicizzare la propria attività societaria e acquisire nuova clientela; (g) che il "ruolo funzionale" della B.________ Sagl nei confronti della C.________ SRL, è stato in sostanza confermato anche da E.________, presidente della gerenza della prima e amministratore unico della seconda, il quale ha dichiarato pendente causa che l'apertura della B.________ Sagl è stata decisa per incrementare l'attività della C.________ SRL, attiva fino a quel momento su suolo svizzero attraverso del personale distaccato; (h) che - in presenza di un unico cliente - ciò significa in concreto che per potere svolgere a lungo termine l'attività richiesta dalla G.________ Sagl i 90 giorni concessi ai prestatori di servizi non bastavano più ed era quindi necessario trovare un'altra soluzione (nel senso indicato, cfr. infine anche le sentenze del Tribunale federale 2C_497/2023 dell'8 gennaio 2024 consid. 5; 2C_897/2022 del 6 settembre 2023 consid. 6.3; 2C_185/2023 del 28 agosto 2023 consid. 7.3; 2C_154/2023 dell'8 agosto 2023 consid. 5; 2C_231/2023 dell'11 luglio 2023 consid. 6.1, in cui questa Corte federale ha confermato sentenze del Tribunale amministrativo ticinese in casi e circostanze analoghi).</w:t>
      </w:r>
    </w:p>
    <w:p>
      <w:r>
        <w:rPr>
          <w:b/>
        </w:rPr>
        <w:t>E. 6.1</w:t>
      </w:r>
    </w:p>
    <w:p>
      <w:r>
        <w:t>Per quanto precede, il ricorso dev'essere respinto. Le spese giudiziarie seguono la soccombenza ( art. 66 cpv. 1 LTF ). Non vengono assegnate ripetibili ( art. 68 cpv. 3 LTF ).</w:t>
      </w:r>
    </w:p>
    <w:p>
      <w:r>
        <w:rPr>
          <w:b/>
        </w:rPr>
        <w:t>E. 6.2</w:t>
      </w:r>
    </w:p>
    <w:p>
      <w:r>
        <w:t>Con l'emanazione del presente giudizio, la richiesta di concessione dell'effetto sospensivo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