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2C_573/2015 vom 29. September 2015</w:t>
      </w:r>
    </w:p>
    <w:p>
      <w:r>
        <w:t>Bundesgericht, 2015-09-29, FR</w:t>
      </w:r>
    </w:p>
    <w:p>
      <w:r>
        <w:rPr>
          <w:b/>
        </w:rPr>
        <w:t xml:space="preserve">Quelle: </w:t>
      </w:r>
      <w:r>
        <w:t>https://mcp.opencaselaw.ch/entscheid/bger_2C_573_2015</w:t>
      </w:r>
    </w:p>
    <w:p>
      <w:r>
        <w:t>FR: TF 2C_573/2015 du 29 septembre 2015</w:t>
      </w:r>
    </w:p>
    <w:p>
      <w:r>
        <w:t>IT: TF 2C_573/2015 del 29 settembre 2015</w:t>
      </w:r>
    </w:p>
    <w:p>
      <w:pPr>
        <w:pStyle w:val="Heading2"/>
      </w:pPr>
      <w:r>
        <w:t>Erwägungen</w:t>
      </w:r>
    </w:p>
    <w:p>
      <w:r>
        <w:rPr>
          <w:b/>
        </w:rPr>
        <w:t>E. 1</w:t>
      </w:r>
    </w:p>
    <w:p>
      <w:r>
        <w:t>Le Tribunal fédéral examine d'office sa compétence ( art. 29 al. 1 LTF ). Il contrôle librement la recevabilité des recours qui lui sont soumis (cf. ATF 139 V 42 consid. 1 p. 44; 138 I 475 consid. 1 p. 476 et les arrêts cités).</w:t>
      </w:r>
    </w:p>
    <w:p>
      <w:r>
        <w:rPr>
          <w:b/>
        </w:rPr>
        <w:t>E. 1.1</w:t>
      </w:r>
    </w:p>
    <w:p>
      <w:r>
        <w:t>La recourante, pourtant représentée par un mandataire professionnel, n'a pas adopté de conclusions formelles. Il n'est toutefois pas nécessaire que les conclusions soient formulées explicitement pour qu'elles soient recevables; il suffit qu'elles ressortent clairement des motifs allégués ( ATF 108 II 487 consid. 1 p. 488; 103 Ib 91 consid. 2c p. 95). En l'espèce, la lecture du mémoire de recours permet de déduire sans équivoque que l'intéressée conteste le rejet de sa requête de mesures provisionnelles et conclut implicitement à l'annulation de la décision attaquée ainsi qu'à l'octroi d'une autorisation de pratiquer ses activités soumises à autorisation durant la procédure, au titre de mesure provisionnelle. Son recours répond ainsi aux exigences de l' art. 42 al. 1 LTF .</w:t>
      </w:r>
    </w:p>
    <w:p>
      <w:r>
        <w:rPr>
          <w:b/>
        </w:rPr>
        <w:t>E. 1.2</w:t>
      </w:r>
    </w:p>
    <w:p>
      <w:r>
        <w:t>La décision attaquée se limite aux questions de l'effet suspensif au recours contre la décision de Swissmedic du 26 août 2014 interjeté devant le Tribunal administratif fédéral ainsi qu'au prononcé de mesures provisionnelles. Il s'agit donc d'une décision incidente, qui ne met pas un terme à la procédure (cf. arrêt 2C_203/2013 du 25 mars 2013 consid. 5.1; Bernard Corboz, in Corboz et al., Commentaire de la LTF, 2e éd. 2014, n° 12 ad art. 93 LTF ). Sous réserve de situations non pertinentes pour la présente cause (cf. art. 92 et 93 al. 1 let. b LTF ), une décision incidente notifiée séparément ne peut faire l'objet d'un recours que si elle peut causer un préjudice irréparable (cf. art. 93 al. 1 let. a LTF ). Le préjudice, au sens de l' art. 93 al. 1 let. a LTF , doit être de nature juridique; il ne peut s'agir d'un préjudice de fait ou d'un préjudice purement économique, comme l'allongement ou le renchérissement de la procédure ( ATF 137 V 314 consid. 2.2.1 p. 317; 136 IV 92 consid. 4 p. 95; 135 II 30 consid. 1.3.4 p. 36; récemment: arrêt 4A_478/2011 du 30 novembre 2011 consid. 1.1). Le préjudice doit être irréparable, c'est-à-dire qu'il ne doit pas pouvoir être supprimé par une décision finale ultérieure qui serait favorable à la partie recourante ( ATF 137 V 314 consid. 2.2.1 p. 317; 134 IV 92 consid. 4 p. 95; 134 III 188 consid. 2.1 p. 190). Il appartient en outre à celle-ci d'expliquer en quoi la décision entreprise est de nature à lui causer un préjudice irréparable, sauf si ce point découle manifestement de la décision attaquée ou de la nature de la cause ( ATF 138 III 46 consid. 1.2 p. 47; 137 III 324 consid. 1.1 p. 328 s.).</w:t>
      </w:r>
    </w:p>
    <w:p>
      <w:r>
        <w:t>La recourante explique en substance que le fait de ne pas l'autoriser à poursuivre son activité durant la procédure aurait pour conséquences l'arrêt total de son exploitation et la perte d'investissements très importants. Ce point de vue est bien fondé. Il faut en effet reconnaître qu'en ayant bénéficié d'une autorisation idoine jusqu'au 31 juillet 2014, l'absence de renouvellement de cette autorisation priverait la recourante d'une partie de ses activités et qu'aucune réparation ne serait possible pour la période écoulée si elle venait finalement à obtenir gain de cause au fond. Pour cette raison, il y a lieu d'admettre l'existence d'un préjudice irréparable au sens de l' art. 93 al. 1 let. a LTF .</w:t>
      </w:r>
    </w:p>
    <w:p>
      <w:r>
        <w:rPr>
          <w:b/>
        </w:rPr>
        <w:t>E. 1.3</w:t>
      </w:r>
    </w:p>
    <w:p>
      <w:r>
        <w:t>Au surplus, le recours en matière de droit public est dirigé contre une décision rendue par le Tribunal administratif fédéral ( art. 86 al. 1 let. a LTF ) dans une cause de droit public ( art. 82 let. a LTF ), sans qu'aucune des exceptions prévues à l' art. 83 LTF ne soit réalisée. La recourante a participé à la procédure devant l'instance précédente, est particulièrement atteinte par la décision entreprise et a un intérêt digne de protection à son annulation ou à sa modification. Elle a ainsi qualité pour recourir (cf. art. 89 al. 1 LTF ). Déposé en temps utile (cf. art. 100 al. 1 LTF ), le recours est par conséquent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En tant que la recourante avance des éléments de fait ne ressortant pas de la décision attaquée, par exemple en relation avec la qualité de ses produits durant ses 20 années d'exploitation, sans exposer en quoi les conditions qui viennent d'être rappelées seraient réunies, il n'en sera pas tenu compte.</w:t>
      </w:r>
    </w:p>
    <w:p>
      <w:r>
        <w:rPr>
          <w:b/>
        </w:rPr>
        <w:t>E. 3.1</w:t>
      </w:r>
    </w:p>
    <w:p>
      <w:r>
        <w:t>Aux termes de l' art. 98 LTF , dans le cas des recours formés contre des décisions portant sur des mesures provisionnelles, comme c'est le cas en l'espèce (cf. consid. 1.2 ci-dessus), seule peut être invoquée la violation des droits constitutionnels, qui doit être motivée conformément aux exigences accrues de l' art. 106 al. 2 LTF . Il appartient donc à la partie recourante d'invoquer de tels griefs et de les motiver d'une manière suffisante.</w:t>
      </w:r>
    </w:p>
    <w:p>
      <w:r>
        <w:rPr>
          <w:b/>
        </w:rPr>
        <w:t>E. 3.2</w:t>
      </w:r>
    </w:p>
    <w:p>
      <w:r>
        <w:t>La recourante estime que c'est arbitrairement que le Tribunal administratif fédéral a rejeté sa requête de mesures provisionnelles et l'a ainsi privée de poursuivre ses activités. Elle est d'avis que la pesée des intérêts effectuée par l'autorité précédente est choquante et heurte le sentiment de justice, notamment en se bornant à opposer un intérêt de santé publique étriqué à un intérêt économique. Elle relève en outre que Swissmedic a toléré les déviations constatées et accordé une prolongation de la validité de l'autorisation dont elle bénéficiait jusqu'au 31 juillet 2014.</w:t>
      </w:r>
    </w:p>
    <w:p>
      <w:r>
        <w:rPr>
          <w:b/>
        </w:rPr>
        <w:t>E. 3.3</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3.4</w:t>
      </w:r>
    </w:p>
    <w:p>
      <w:r>
        <w:t>En l'espèce, le Tribunal administratif fédéral, se fondant sur le rapport de l'Inspectorat mandaté par Swissmedic et sur la décision de ce dernier, a retenu que la recourante, en matière d'assurance de la qualité et du responsable technique, présentait des déviations classées dans la catégorie "Critique", correspondant au degré le plus grave de déviation et devant être corrigées immédiatement. Sur cette base, certes contestée par la recourante, mais de manière purement appellatoire, et pour autant qu'il faille considérer la motivation du recours à ce propos comme étant suffisante (cf. art. 106 al. 2 LTF ), c'est sans arbitraire que l'autorité précédente a considéré que, au vu du but poursuivi par la législation fédérale sur les médicaments et les dispositifs médicaux, le non-respect des conditions posées à l'octroi de l'autorisation requise constituait un risque pour la santé des patients. C'est de manière pleinement soutenable qu'elle a jugé que l'intérêt privé de la recourante ne saurait l'emporter sur l'intérêt public à la protection de la santé, en raison de l'importance propre de celui-ci et de l'ampleur de l'atteinte qui pourrait lui être portée par l'octroi de la mesure provisionnelle requise. C'est en outre également sans arbitraire que le Tribunal administratif fédéral a ajouté en substance que les diverses prolongations prononcées durant la procédure ne pouvaient conduire à une autre solution. Au demeurant, s'il semble qu'elle invoque une violation du principe de la proportionnalité, force est toutefois de constater que la recourante ne motive pas son grief à suffisance (cf. art. 106 al. 2 LTF ).</w:t>
      </w:r>
    </w:p>
    <w:p>
      <w:r>
        <w:rPr>
          <w:b/>
        </w:rPr>
        <w:t>E. 4</w:t>
      </w:r>
    </w:p>
    <w:p>
      <w:r>
        <w:t>Compte tenu de ce qui précède, le recours doit être rejeté dans la mesure de sa recevabilité.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