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2C_56/2016 vom 20. Januar 2016</w:t>
      </w:r>
    </w:p>
    <w:p>
      <w:r>
        <w:t>Bundesgericht, 2016-01-20, FR</w:t>
      </w:r>
    </w:p>
    <w:p>
      <w:r>
        <w:rPr>
          <w:b/>
        </w:rPr>
        <w:t xml:space="preserve">Quelle: </w:t>
      </w:r>
      <w:r>
        <w:t>https://mcp.opencaselaw.ch/entscheid/bger_2C_56_2016</w:t>
      </w:r>
    </w:p>
    <w:p>
      <w:r>
        <w:t>FR: TF 2C_56/2016 du 20 janvier 2016</w:t>
      </w:r>
    </w:p>
    <w:p>
      <w:r>
        <w:t>IT: TF 2C_56/2016 del 20 gennaio 2016</w:t>
      </w:r>
    </w:p>
    <w:p>
      <w:pPr>
        <w:pStyle w:val="Heading2"/>
      </w:pPr>
      <w:r>
        <w:t>Erwägungen</w:t>
      </w:r>
    </w:p>
    <w:p>
      <w:r>
        <w:rPr>
          <w:b/>
        </w:rPr>
        <w:t>E. 1</w:t>
      </w:r>
    </w:p>
    <w:p>
      <w:r>
        <w:t>Par arrêt du 30 novembre 2015, le Tribunal cantonal du canton de Vaud a rejeté le recours que A.________, ressortissant turc, avait déposé contre la décision du Service de l'emploi du canton de Vaud du 30 juillet 2015 lui refusant l'octroi d'une autorisation de séjour en vue d'exercer une activité lucrative indépendante.</w:t>
      </w:r>
    </w:p>
    <w:p>
      <w:r>
        <w:rPr>
          <w:b/>
        </w:rPr>
        <w:t>E. 2</w:t>
      </w:r>
    </w:p>
    <w:p>
      <w:r>
        <w:t>Agissant par la voie du recours en matière de droit public, A.________ demande au Tribunal fédéral, sous suite de frais et dépens, d'annuler l'arrêt rendu le 30 novembre 2015 par le Tribunal cantonal du canton de Vaud et de renvoyer la cause pour nouvelle décision au sens des considérants. Il se plaint d'une constatation inexacte des faits ayant conduit à une violation de l'art. 19 LEtr.</w:t>
      </w:r>
    </w:p>
    <w:p>
      <w:r>
        <w:rPr>
          <w:b/>
        </w:rPr>
        <w:t>E. 3</w:t>
      </w:r>
    </w:p>
    <w:p>
      <w:r>
        <w:t>Selon l' art. 83 let . c ch. 2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w:t>
      </w:r>
    </w:p>
    <w:p>
      <w:r>
        <w:t>En raison de sa formulation potestative, l'art. 19 LEtr ne confère aucun droit. Il s'ensuit que le recours doit être considéré comme un recours constitutionnel subsidiaire ( art. 113 LTF ) pour violation des droits constitutionnels ( art. 116 LTF ). Il appartenait toutefois au recourant d'invoquer de tels griefs et de les motiver d'une manière suffisante (cf. art. 106 al. 2 et 117 LTF ; ATF 133 II 249 consid. 1.4.2 p. 254), ce qu'il n'a pas fait en l'espèce.</w:t>
      </w:r>
    </w:p>
    <w:p>
      <w:r>
        <w:rPr>
          <w:b/>
        </w:rPr>
        <w:t>E. 4</w:t>
      </w:r>
    </w:p>
    <w:p>
      <w:r>
        <w:t>Le recours est ainsi manifestement irrecevable ( art. 108 al. 1 let. b LTF ) et doit être traités selon la procédure simplifiée de l' art. 108 LTF . Succombant, le recourant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