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2C_56/2010 vom 9. April 2010</w:t>
      </w:r>
    </w:p>
    <w:p>
      <w:r>
        <w:t>Bundesgericht, 2010-04-09, FR</w:t>
      </w:r>
    </w:p>
    <w:p>
      <w:r>
        <w:rPr>
          <w:b/>
        </w:rPr>
        <w:t xml:space="preserve">Quelle: </w:t>
      </w:r>
      <w:r>
        <w:t>https://mcp.opencaselaw.ch/entscheid/bger_2C_56_2010</w:t>
      </w:r>
    </w:p>
    <w:p>
      <w:r>
        <w:t>FR: TF 2C_56/2010 du 9 avril 2010</w:t>
      </w:r>
    </w:p>
    <w:p>
      <w:r>
        <w:t>IT: TF 2C_56/2010 del 9 aprile 2010</w:t>
      </w:r>
    </w:p>
    <w:p>
      <w:pPr>
        <w:pStyle w:val="Heading2"/>
      </w:pPr>
      <w:r>
        <w:t>Erwägungen</w:t>
      </w:r>
    </w:p>
    <w:p>
      <w:r>
        <w:rPr>
          <w:b/>
        </w:rPr>
        <w:t>E. 1</w:t>
      </w:r>
    </w:p>
    <w:p>
      <w:r>
        <w:t>En droit cantonal genevois, les logements appartenant à une catégorie subventionnée par l'Etat sont destinés aux personnes dont les revenus n'excèdent pas les montants fixés dans les barèmes d'entrée, respectivement de sortie, définis par la loi générale sur le logement et la protection des locataires du 4 décembre 1977 (art. 30 al. 1 LGL; RSGE I 4 05).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 sortie, ce dernier est astreint au paiement d'une surtaxe et le bail peut être résilié (art. 31 al. 4 LGL).</w:t>
      </w:r>
    </w:p>
    <w:p>
      <w:r>
        <w:t>Par revenu, il faut entendre le revenu déterminant, soit l'ensemble des ressources au sens des art. 1 ss de la loi sur l'imposition des personnes physiques - impôt sur le revenu (revenu imposable) du 22 septembre 2000 (LIPP IV; RSGE D 3 14, remplacée depuis le 1er janvier 2010 par la loi du 27 septembre 2009 sur l'imposition des personnes physiques [RSGE D 3 08]) - du titulaire du bail, additionnées à celles des autres personnes occupant le logement, dont à déduire une somme de 10'000 fr. pour la première personne, 7'500 fr. pour la deuxième et 5'000 fr. par personne dès la troisième (art. 31C al. 1 let. a LGL). Sont considérées comme personnes occupant le logement les personnes ayant un domicile légal déclaré à l'Office cantonal de la population, identique à celui du titulaire du bail.</w:t>
      </w:r>
    </w:p>
    <w:p>
      <w:r>
        <w:rPr>
          <w:b/>
        </w:rPr>
        <w:t>E. 2</w:t>
      </w:r>
    </w:p>
    <w:p>
      <w:r>
        <w:t>Il appartient au locataire de justifier, à première réquisition, qu'il remplit les conditions lui permettant d'occuper un logement subventionné (art. 10 al. 1 du règlement d'exécution de la loi générale sur le logement et la protection des locataires du 24 août 1992 [RGL; RSGE I 4 05.01]). Lorsqu'il refuse ou omet de justifier qu'il remplit l'une ou l'autre condition, celle-ci est réputée n'être pas respectée et le bail peut être résilié (art. 10 al. 3 RGL). En l'absence de justificatifs du revenu, il est tenu compte d'un revenu déterminant équivalent à douze fois le loyer annuel du logement et le bail peut être résilié (art. 10 al. 5 RGL).</w:t>
      </w:r>
    </w:p>
    <w:p>
      <w:r>
        <w:rPr>
          <w:b/>
        </w:rPr>
        <w:t>E. 3.1</w:t>
      </w:r>
    </w:p>
    <w:p>
      <w:r>
        <w:t>Le recourant se plaint en l'espèce exclusivement d'une violation du droit d'être entendu. Comme il n'invoque aucune norme de droit cantonal, son grief doit être analysé au regard des garanties offertes par l' art. 29 al. 2 Cst.</w:t>
      </w:r>
    </w:p>
    <w:p>
      <w:r>
        <w:rPr>
          <w:b/>
        </w:rPr>
        <w:t>E. 3.2</w:t>
      </w:r>
    </w:p>
    <w:p>
      <w:r>
        <w:t>Dès lors qu'il doit appliquer le droit fédéral, le Tribunal fédéral l'applique d'office ( art. 106 al. 1 LTF ). Il n'examine toutefois la violation de droits fondamentaux, ainsi que celle de dispositions de droit cantonal et intercantonal que si ce grief a été invoqué et motivé par le recourant ( art. 106 al. 2 LTF ). De ce point de vue, on peut très largement douter de la recevabilité du recours rédigé de manière essentiellement appellatoire.</w:t>
      </w:r>
    </w:p>
    <w:p>
      <w:r>
        <w:rPr>
          <w:b/>
        </w:rPr>
        <w:t>E. 3.3</w:t>
      </w:r>
    </w:p>
    <w:p>
      <w:r>
        <w:t>Le droit d'être entendu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126 I 15 consid. 2a et les arrêts cités). Le juge peut cependant refuser une mesure probatoire parce qu'il considère qu'elle est inapte à apporter la preuve ou lorsque les preuves administrées lui ont permis de former sa conviction et que, procédant d'une manière non arbitraire à une appréciation anticipée des preuves qui lui sont encore proposées, il a la certitude qu'elles ne pourraient l'amener à modifier son opinion ( ATF 131 I 153 consid. 3 p. 157; 130 II 427 consid. 2.1 p. 428).</w:t>
      </w:r>
    </w:p>
    <w:p>
      <w:r>
        <w:rPr>
          <w:b/>
        </w:rPr>
        <w:t>E. 3.4</w:t>
      </w:r>
    </w:p>
    <w:p>
      <w:r>
        <w:t>Le recourant reproche au Tribunal administratif d'avoir violé son droit d'être entendu en refusant d'ordonner la comparution de Y.________ et Z.________. Ce faisant, il perd de vue qu'une telle mesure d'instruction n'aurait en rien changé le résultat de l'instance: en effet, il lui incombait également de produire les documents le concernant lui-même dans la mesure où cette information était essentielle pour établir ses propres revenus. Or, de toute évidence, l'audition des deux témoins sollicités par le recourant n'aurait en aucune manière permis d'établir le revenu du recourant. Ainsi, dans la mesure où l'intégralité des informations ne pouvait être transmise à l'autorité cantonale par le biais de l'audition des témoins en question, le Tribunal administratif pouvait par une appréciation anticipée des preuves dénuée d'arbitraire renoncer à leur audition.</w:t>
      </w:r>
    </w:p>
    <w:p>
      <w:r>
        <w:rPr>
          <w:b/>
        </w:rPr>
        <w:t>E. 3.5</w:t>
      </w:r>
    </w:p>
    <w:p>
      <w:r>
        <w:t>On relèvera enfin, par surabondance, que le recourant n'a même pas fait usage de la faculté qui lui a été offerte par le Tribunal administratif, par ordonnance du 14 mai 2009, d'articuler des requêtes complémentaires notamment s'agissant de moyens de preuve à administrer. Le recourant n'ayant donné aucune suite à la possibilité ainsi offerte, il est pour le moins malvenu de se plaindre ultérieurement devant le Tribunal fédéral d'une violation de son droit d'être entendu, le grief soulevé à ce propos confinant dès lors à la témérité.</w:t>
      </w:r>
    </w:p>
    <w:p>
      <w:r>
        <w:rPr>
          <w:b/>
        </w:rPr>
        <w:t>E. 4</w:t>
      </w:r>
    </w:p>
    <w:p>
      <w:r>
        <w:t>Les considérants qui précèdent conduisent au rejet du recours dans la mesure où il est recevable. Les conclusions du recourant étant manifestement vouées à l'échec, la requête d'assistance judiciaire doit aussi être rejetée ( art. 64 al. 1 LTF ). Succombant, le recourant doit supporter un émolument judiciaire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