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2C_568/2022 vom 9. August 2022</w:t>
      </w:r>
    </w:p>
    <w:p>
      <w:r>
        <w:t>Bundesgericht, 2022-08-09, DE</w:t>
      </w:r>
    </w:p>
    <w:p>
      <w:r>
        <w:rPr>
          <w:b/>
        </w:rPr>
        <w:t xml:space="preserve">Quelle: </w:t>
      </w:r>
      <w:r>
        <w:t>https://mcp.opencaselaw.ch/entscheid/bger_2C_568_2022</w:t>
      </w:r>
    </w:p>
    <w:p>
      <w:r>
        <w:t>FR: TF 2C_568/2022 du 9 août 2022</w:t>
      </w:r>
    </w:p>
    <w:p>
      <w:r>
        <w:t>IT: TF 2C_568/2022 del 9 agosto 2022</w:t>
      </w:r>
    </w:p>
    <w:p>
      <w:pPr>
        <w:pStyle w:val="Heading2"/>
      </w:pPr>
      <w:r>
        <w:t>Erwägungen</w:t>
      </w:r>
    </w:p>
    <w:p>
      <w:r>
        <w:rPr>
          <w:b/>
        </w:rPr>
        <w:t>E. 1.1</w:t>
      </w:r>
    </w:p>
    <w:p>
      <w:r>
        <w:t>Mit Eingabe vom 1. Juni 2021 erstattete A.________ aufsichtsrechtliche Anzeige gegen zwei Advokaten. Darin warf er ihnen vor, im Jahr 2014 eine "grobe Mandats-Veruntreuung" begangen zu haben.</w:t>
      </w:r>
    </w:p>
    <w:p>
      <w:r>
        <w:t>Die Aufsichtskommission über die Anwältinnen und Anwälte des Kantons Basel-Stadt (nachfolgend: Aufsichtskommission) stellte in ihrem Entscheid vom 5. Oktober 2021 fest, dass gegen die bezeichneten Advokaten kein Disziplinarverfahren eingeleitet werde. Dieser Entscheid, der keine Rechtsmittelbelehrung enthielt, wurde A.________ am 2. Februar 2022 zugestellt.</w:t>
      </w:r>
    </w:p>
    <w:p>
      <w:r>
        <w:rPr>
          <w:b/>
        </w:rPr>
        <w:t>E. 1.2</w:t>
      </w:r>
    </w:p>
    <w:p>
      <w:r>
        <w:t>Mit Urteil vom 17. Juni 2022 trat das Appellationsgericht des Kantons Basel-Stadt als Verwaltungsgericht, Dreiergericht, auf einen Rekurs von A.________ gegen den Entscheid der Aufsichtskommission mangels Legitimation nicht ein.</w:t>
      </w:r>
    </w:p>
    <w:p>
      <w:r>
        <w:rPr>
          <w:b/>
        </w:rPr>
        <w:t>E. 1.3</w:t>
      </w:r>
    </w:p>
    <w:p>
      <w:r>
        <w:t>Dagegen gelangt A.________ mit Eingabe vom 14. Juli 2022 (Postaufgabe) an das Bundesgericht mit dem Antrag "Rechtsgehör zu erhalten".</w:t>
      </w:r>
    </w:p>
    <w:p>
      <w:r>
        <w:t>Mit Schreiben vom 15. Juli 2022 wurde der Beschwerdeführer darauf aufmerksam gemacht, dass seine Beschwerde den Begründungsanforderungen an eine Eingabe an das Bundesgericht nicht genügen dürfte, sodass das Bundesgericht darauf vermutlich nicht eintreten werde. Es wurde ihm jedoch die Möglichkeit eingeräumt, bis zum Ablauf der Beschwerdefrist die Eingabe zu verbessern. In der Folge reichte er am 5. August 2022 (Postaufgabe) eine weitere Eingabe ein.</w:t>
      </w:r>
    </w:p>
    <w:p>
      <w:r>
        <w:t>Es wurden keine weiteren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(Urteile 2C_413/2022 vom 30. Mai 2022 E. 2.1; 2C_470/2021 vom 22. November 2021 E. 1.2; 2C_603/2018 vom 3. Dezember 2018 E. 1.2).</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w:t>
      </w:r>
    </w:p>
    <w:p>
      <w:r>
        <w:rPr>
          <w:b/>
        </w:rPr>
        <w:t>E. 2.2</w:t>
      </w:r>
    </w:p>
    <w:p>
      <w:r>
        <w:t>Vorliegend hat die Vorinstanz die Legitimationsvoraussetzungen nach kantonalem Recht (vgl. § 13 Abs. 1 des Gesetzes vom 14. Juni 1928 über die Verfassungs- und Verwaltungsrechtspflege [VRPG/BS; SG 270.100]) ausführlich dargelegt. Diesbezüglich hat sie insbesondere festgehalten, dass diese in Anlehnung an die Legitimationsvoraussetzungen von Art. 48 Abs. 1 VwVG (SR 172.021) bzw. Art. 89 Abs. 1 BGG auszulegen seien.</w:t>
      </w:r>
    </w:p>
    <w:p>
      <w:r>
        <w:t>Sodann hat sie - unter Hinweis auf Rechtsprechung und Lehre - ausgeführt, dass der Anzeigesteller kein eigenes schutzwürdiges Interesse daran habe, dass die Aufsichtsbehörde gegen einen beschuldigten Rechtsanwalt ein Disziplinarverfahren eröffne oder eine Disziplinarsanktion ausspreche. Auch Kunden von Rechtsanwälten seien in aufsichtsrechtlichen Verfahren nur Anzeiger ohne Parteistellung (vgl. BGE 142 II 451 E. 3.4.3; Urteil 2C_892/2019 vom 16. Dezember 2019 E. 3.4; zur Beschwerdebefugnis des Anzeigers vgl. auch Urteil 2C_79/2021 vom 17. Juni 2021 E. 3.3 mit Hinweisen). In der Folge sprach das Appellationsgericht dem Beschwerdeführer die Legitimation ab und trat auf seinen Rekurs nicht ein. Ergänzend wies es daraufhin, dass er - mangels Parteistellung - aus Art. 29 Abs. 1 und Art. 30 Abs. 1 BV kein schutzwürdiges Interesse ableiten könne.</w:t>
      </w:r>
    </w:p>
    <w:p>
      <w:r>
        <w:rPr>
          <w:b/>
        </w:rPr>
        <w:t>E. 2.3</w:t>
      </w:r>
    </w:p>
    <w:p>
      <w:r>
        <w:t>Mit diesen zutreffenden Erwägungen der Vorinstanz, die zum Nichteintreten auf seinen Rekurs geführt haben, setzt sich der Beschwerdeführer nicht sachbezogen auseinander. Vielmehr beschränkt er sich im Wesentlichen auf knapp zwei Seiten darauf, zu behaupten, dass der angefochtene Entscheid unhaltbar und dass sein Recht auf Rechtsgehör verletzt worden sei, um Verfehlungen von Anwälten zu decken.</w:t>
      </w:r>
    </w:p>
    <w:p>
      <w:r>
        <w:t>Damit gelingt es ihm nicht aufzuzeigen, inwiefern die Ausführungen der Vorinstanz, er sei als Anzeiger im Aufsichtsverfahren nicht beschwerdeberechtigt, rechts- bzw. verfassungswirdrig wären (vgl. E. 2.1 hiervor).</w:t>
      </w:r>
    </w:p>
    <w:p>
      <w:r>
        <w:rPr>
          <w:b/>
        </w:rPr>
        <w:t>E. 2.4</w:t>
      </w:r>
    </w:p>
    <w:p>
      <w:r>
        <w:t>Die Beschwerde enthält offensichtlich keine hinreichende Begründung ( Art. 42 Abs. 2 und Art. 106 Abs. 2 BGG ). Es ist darauf mit Entscheid der Abteilungspräsidentin als Einzelrichterin im vereinfachten Verfahren nach Art. 108 Abs. 1 lit. b BGG nicht einzutreten.</w:t>
      </w:r>
    </w:p>
    <w:p>
      <w:r>
        <w:rPr>
          <w:b/>
        </w:rPr>
        <w:t>E. 3</w:t>
      </w:r>
    </w:p>
    <w:p>
      <w:r>
        <w:t>Der unterliegende Beschwerdeführer wird für das bundesgerichtliche Verfahren kostenpflichtig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