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2C_568/2014 vom 9. Januar 2015</w:t>
      </w:r>
    </w:p>
    <w:p>
      <w:r>
        <w:t>Bundesgericht, 2015-01-09, DE</w:t>
      </w:r>
    </w:p>
    <w:p>
      <w:r>
        <w:rPr>
          <w:b/>
        </w:rPr>
        <w:t xml:space="preserve">Quelle: </w:t>
      </w:r>
      <w:r>
        <w:t>https://mcp.opencaselaw.ch/entscheid/bger_2C_568_2014</w:t>
      </w:r>
    </w:p>
    <w:p>
      <w:r>
        <w:t>FR: TF 2C_568/2014 du 9 janvier 2015</w:t>
      </w:r>
    </w:p>
    <w:p>
      <w:r>
        <w:t>IT: TF 2C_568/2014 del 9 gennaio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 vom 14. Dezember 1990 über die Harmonisierung der direkten Steuern der Kantone und Gemeinden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22.2.28).</w:t>
      </w:r>
    </w:p>
    <w:p>
      <w:r>
        <w:rPr>
          <w:b/>
        </w:rPr>
        <w:t>E. 1.3</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was in der Beschwerde darzulegen ist ( BGE 133 II 249 E. 1.4.3 S. 254 f. ; 137 I 58 E. 4.1.2 S. 62; 134 V 53 E. 4.3 S. 62). Die Beschwerdeführenden machen nicht geltend, die Vorinstanz habe den rechtserheblichen Sachverhalt offensichtlich unrichtig festgestellt.</w:t>
      </w:r>
    </w:p>
    <w:p>
      <w:r>
        <w:rPr>
          <w:b/>
        </w:rPr>
        <w:t>E. 1.4</w:t>
      </w:r>
    </w:p>
    <w:p>
      <w:r>
        <w:t>Die vorliegende Sache betrifft die direkte Bundessteuer sowie die Staats- und Gemeindesteuern. Die Vorinstanz hat die beiden Steuern in einem Urteil behandelt. Das Bundesgericht eröffnet grundsätzlich zwei Verfahren, wenn sowohl die kantonalen Steuern wie auch die direkte Bundessteuer streitig sind, es behält sich aber vor, die beiden Verfahren zu vereinigen. Das rechtfertigt sich auch hier (vgl. Art. 71 BGG i.V.m. Art. 24 BZP ; BGE 131 V 461 E. 1.2 S. 465, 59 E. 1 S. 60 f.; Urteil 2C_309/2013 / 2C_310/2013 vom 18. September 2013 E. 1.2, in: StE 2013 B 72.14.2 Nr. 42).</w:t>
      </w:r>
    </w:p>
    <w:p>
      <w:r>
        <w:t>I. Direkte Bundessteuer</w:t>
      </w:r>
    </w:p>
    <w:p>
      <w:r>
        <w:rPr>
          <w:b/>
        </w:rPr>
        <w:t>E. 2.1</w:t>
      </w:r>
    </w:p>
    <w:p>
      <w:r>
        <w:t>Die Vorinstanz hat erwogen, die Beschwerdeführer hätten ihre Verfahrenspflichten formell nachgeholt, indem sie im Verfahren vor dem Steuerrekursgericht eine vollständige Steuererklärung inklusive Hilfsblatt A eingereicht hätten. Die behördliche Untersuchungspflicht lebe allerdings erst dann wieder auf, wenn die vorgelegten Unterlagen tatsächlich geeignet seien, die Ungewissheit über die Steuerfaktoren zu beseitigen. Dies sei vorliegend trotz dem Einholen weiterer Unterlagen durch das Rekursgericht nicht der Fall gewesen. Es habe keine Klarheit hinsichtlich der tatsächlichen Vermögensverhältnisse der Beschwerdeführer bestanden. Da diese bereits im Jahr zuvor keine Steuererklärung eingereicht hätten, sei es auch nicht möglich gewesen, die Vermögensverhältnisse zuverlässig aus früheren Steuerunterlagen zu ermitteln. Aus diesem Grund und weil auch andere Belege nicht eingereicht worden seien, resultiere bei den Beschwerdeführern eine nicht erklärbare Finanzierungslücke im Verhältnis zwischen Lebenshaltungskosten und deklariertem Einkommen. Damit hätten diese den Beweis der Unrichtigkeit der Ermessenstaxation nicht erbracht und die Untersuchung habe nicht wieder aufgenommen werden müssen. Bei diesem Ergebnis könne das Verwaltungsgericht die Ermessenstaxation bloss auf Willkür hin überprüfen. Die Einschätzung durch das Steueramt erscheine indes als realistisch, zumal die getroffenen Annahmen bloss geringfügig höher lägen als diejenigen des Vorjahres. Damit sei die Beschwerde abzuweisen.</w:t>
      </w:r>
    </w:p>
    <w:p>
      <w:r>
        <w:rPr>
          <w:b/>
        </w:rPr>
        <w:t>E. 2.2</w:t>
      </w:r>
    </w:p>
    <w:p>
      <w:r>
        <w:t>Die Beschwerdeführer behaupten nicht, dass die Voraussetzungen für eine Ermessenstaxation durch das kantonale Steueramt nicht gegeben gewesen seien. Mit ihrer Beschwerde in öffentlich-rechtlichen Angelegenheiten machen sie auch nicht mehr geltend, bereits im Einspracheverfahren den Nachweis der offensichtlichen Unrichtigkeit der Ermessensveranlagung erbracht zu haben. Sie sind aber der Auffassung, dies vor dem Steuerrekursgericht nachgeholt zu haben, weshalb die behördliche Untersuchungspflicht wieder aufgelebt sei. Das Verwaltungsgericht erachte den Unrichtigkeitsnachweis als gescheitert, weil die Entwicklung ihres Vermögens ungeklärt geblieben sei. Dieser Aspekt sei jedoch ebenso wenig Teil der Ermessensveranlagung gewesen wie ihre Lebenshaltungskosten. Wenn man - entgegen ihrer Auffassung - die Vermögensentwicklung im Rahmen des Unrichtigkeitsnachweises als massgeblichen Aspekt betrachten wollte, so sind die Beschwerdeführer ausserdem der Ansicht, dass sie hierzu ausführliche Erläuterungen abgegeben hätten.</w:t>
      </w:r>
    </w:p>
    <w:p>
      <w:r>
        <w:t>Schliesslich machen die Beschwerdeführer geltend, das Steuerrekursgericht habe Bundesrecht ( Art. 46 Abs. 2 StHG , Art. 130 Abs. 2 DBG ) verletzt, indem es die Ermessensveranlagung ohne vorherige Mahnung getroffen habe.</w:t>
      </w:r>
    </w:p>
    <w:p>
      <w:r>
        <w:rPr>
          <w:b/>
        </w:rPr>
        <w:t>E. 3.1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 Art. 46 Abs. 3 StHG ). Die Steuerpflichtigen können eine Ermessensveranlagung nur wegen offensichtlicher Unrichtigkeit anfechten. Die Einsprache ist zu begründen und muss allfällige Beweismittel nennen ( Art. 132 Abs. 3 DBG , Art. 48 Abs. 2 StHG ). Die Erfordernisse der Begründung und der Nennung der Beweismittel stellen bei Einsprachen, die gegen eine Ermessenseinschätzung erhoben werden, Prozessvoraussetzungen dar ( BGE 131 II 548 E. 2.3 S. 551; 123 II 552 E. 4c S. 557 f.; Urteil 2C_1205/2012, 2C_1206/2012 vom 25. April 2013 E. 3.1).</w:t>
      </w:r>
    </w:p>
    <w:p>
      <w:r>
        <w:t>Der Nachweis der offensichtlichen Unrichtigkeit ist nach der bundesgerichtlichen Rechtsprechung umfassend zu führen und kann nicht nur einzelne Positionen der Ermessensveranlagung betreffen. Vielmehr hat der Steuerpflichtige, der seine Mitwirkungspflichten im Veranlagungsverfahren nicht erfüllt und dadurch eine Ermessensveranlagung bewirkt hat, in der Regel die versäumte Mitwirkungshandlung (Steuererklärung bzw. fehlende Belege) umfassend nachzuholen, um die Einsprache genügend zu begründen. Der Nachweis der Unrichtigkeit ist umfassend, wenn er den gesamten von der Ermessenstaxation betroffenen Teil des Entscheids beinhaltet (Urteile 2C_1205/2012, 2C_1206/2012 vom 25. April 2013 E. 3.2; 2A.39/2004 vom 29. März 2005 E. 5.1, ASA 75 S. 329 ff., 333; Richner/Frei/Kaufmann/Meuter, Handkommentar zum DBG, 2. Aufl. 2009, Art. 132 Rz. 63). Die Steuerbehörde ist in den Stand zu versetzen, dass sie aufgrund der Begründung und der eingereichten und ohne nachzufordernde zusätzliche Unterlagen ohne Weiteres feststellen kann, dass die Ermessensveranlagung offensichtlich unrichtig ist (vgl. Urteil 2A.39/2004 vom 29. März 2005 E. 5.1 und 5.2, ASA 75 S. 329 ff., 333 f.).</w:t>
      </w:r>
    </w:p>
    <w:p>
      <w:r>
        <w:rPr>
          <w:b/>
        </w:rPr>
        <w:t>E. 3.2</w:t>
      </w:r>
    </w:p>
    <w:p>
      <w:r>
        <w:t>Das Rekursgericht hat die Auffassung vertreten, die amtliche Untersuchungspflicht sei wieder aufgelebt, nachdem die Beschwerdeführenden eine vollständige Steuererklärung und das Hilfsblatt A eingereicht hätten. Allerdings erachtete dieses Gericht die Ermessenstaxation dennoch als berechtigt, weil der Nachweis der Unrichtigkeit der Einschätzung nicht erbracht sei. Mit den deklarierten Einkünften könnten die Lebenshaltungskosten einer vierköpfigen Familie kaum bestritten werden, so dass sich die Vermutung aufdränge, dieses Manko sei mit andern Finanzmitteln gedeckt worden. Da die Beschwerdeführenden aber im Jahr 2010 keine Steuererklärung eingereicht und auch auf gerichtliche Aufforderung hin keine Angaben zur Vermögenssituation beigebracht hätten, sei der massgebliche Sachverhalt ungeklärt geblieben.</w:t>
      </w:r>
    </w:p>
    <w:p>
      <w:r>
        <w:t>In Übereinstimmung mit der bundesgerichtlichen Rechtsprechung hielt die Vorinstanz demgegenüber fest, die amtliche Untersuchungspflicht lebe erst wieder auf, wenn die eingereichten Unterlagen und angebotenen Beweise auch tatsächlich geeignet seien, die bestehende Ungewissheit über die Steuerfaktoren zu beseitigen, die versäumten Verfahrenspflichten mithin auch materiell nachgeholt würden. In der Sache ging die Vorinstanz aber mit dem Rekursgericht einig: Bei den von den Beschwerdeführenden deklarierten Lebenshaltungskosten von Fr. 74'600.-- und Einkünften von Fr. 52'700.-- resultiere eine Finanzierungslücke von mehr als Fr. 21'000.--, was sich aufgrund der angegebenen Vermögensentwicklung nicht nachvollziehen lasse. Damit bleibe offen, ob den Beschwerdeführenden nicht weitere Einkommensquellen zur Verfügung gestanden hätten, und der Nachweis der Unrichtigkeit der Ermessenstaxation sei gescheitert.</w:t>
      </w:r>
    </w:p>
    <w:p>
      <w:r>
        <w:t>In der Folge überprüfte die Vorinstanz die Veranlagung der Beschwerdeführenden unter dem Gesichtswinkel des Willkürverbots bloss daraufhin, ob sich die Veranlagung als geradezu unmöglich und sachlich nicht begründbar erweise, und gelangte zum Ergebnis, eine willkürliche Veranlagung liege nicht vor.</w:t>
      </w:r>
    </w:p>
    <w:p>
      <w:r>
        <w:rPr>
          <w:b/>
        </w:rPr>
        <w:t>E. 3.3</w:t>
      </w:r>
    </w:p>
    <w:p>
      <w:r>
        <w:t>Zunächst ist festzuhalten, dass einzig das Urteil des Verwaltungsgerichts vom 16. April 2014 Anfechtungsobjekt des bundesgerichtlichen Verfahren bildet; der Entscheid des Rekursgerichts ist durch das Urteil des Verwaltungsgerichts ersetzt worden (Devolutiveffekt). Ausserdem war das Verwaltungsgericht ohne weiteres zur (teilweisen) Motivsubstitution befugt (vgl. BGE 140 V 85 E. 4.2 S. 87). Es ist somit ohne Belang, wenn die untere Instanz die Voraussetzungen für ein Wiederaufleben der amtlichen Untersuchungspflicht anders umschrieben hat als das Verwaltungsgericht im hier angefochtenen und allein interessierenden Urteil, zumal im Ergebnis beide Gerichte übereinstimmend zum Schluss gelangt sind, die Beschwerdeführenden hätten ihrer erhöhten Mitwirkungspflicht bei der Bestreitung der Ermessensveranlagung nicht genügt, und ihr Rechtsmittel als unbegründet erachteten.</w:t>
      </w:r>
    </w:p>
    <w:p>
      <w:r>
        <w:rPr>
          <w:b/>
        </w:rPr>
        <w:t>E. 3.4</w:t>
      </w:r>
    </w:p>
    <w:p>
      <w:r>
        <w:t>Die Beschwerdeführenden sind der Auffassung, die Vermögensentwicklung und die damit zusammenhängenden Fragen rund um ihre Lebenshaltungskosten könnten nicht "Gegenstand des Unrichtigkeitsnachweises" sein, da ihnen das Steueramt diesbezüglich keine Verletzung von Verfahrenspflichten vorgeworfen habe. Dieser Einwand geht fehl. Es trifft zwar zu, dass es bei den behördlichen Abklärungen in erster Linie darum ging, die Höhe des Einkommens des Beschwerdeführers, der als Netzwerktechniker selbständig erwerbstätig ist, zu ermitteln. Nachdem aber der Unrichtigkeitsbeweis nach dem Gesagten nicht geleistet worden war und es nach dem Prüfungsprogramm der Vorinstanz nur noch darum ging, ob die Ermessenstaxation im Ergebnis vor dem Willkürverbot standhalte, waren auch die Vermögensverhältnisse mit einzubeziehen. Denn die Beschwerdeführer hatten in ihrer Steuererklärung derart geringe Einkünfte ausgewiesen, dass Zweifel daran bestanden, ob sie ihren Lebensunterhalt tatsächlich alleine mit diesen Mitteln bestreiten konnten, so dass sich die Frage nach den tatsächlichen Aufwendungen zur Bestreitung des Lebensunterhalts aufdrängte. Es geht mit anderen Worten um die Frage nach den Quellen, aus denen die Differenz zwischen den ausgewiesenen Einkünften aus Arbeit und den mutmasslichen Lebenshaltungskosten gedeckt wurde. Da hierfür neben nicht deklariertem Einkommen auch Vermögensverzehr in Betracht fiel, war die Frage der Entwicklung des Vermögens der Beschwerdeführer ohne weiteres auch Verfahrensgegenstand.</w:t>
      </w:r>
    </w:p>
    <w:p>
      <w:r>
        <w:rPr>
          <w:b/>
        </w:rPr>
        <w:t>E. 3.5</w:t>
      </w:r>
    </w:p>
    <w:p>
      <w:r>
        <w:t>Wenn somit die Vorinstanz den Unrichtigkeitsbeweis nicht als erbracht erachtete und auch die Veranlagung nach pflichtgemässem Ermessen im Ergebnis nicht als willkürlich taxierte, hat sie Bundesrecht nicht verletzt. Die Beschwerde ist unbegründet und muss abgewiesen werden.</w:t>
      </w:r>
    </w:p>
    <w:p>
      <w:r>
        <w:t>II.       Staats- und Gemeindesteuern</w:t>
      </w:r>
    </w:p>
    <w:p>
      <w:r>
        <w:rPr>
          <w:b/>
        </w:rPr>
        <w:t>E. 4</w:t>
      </w:r>
    </w:p>
    <w:p>
      <w:r>
        <w:t>Art. 46 Abs. 3 StHG über die Voraussetzungen der Ermessensveranlagung stimmt weitestgehend mit Art. 130 Abs. 2 DBG überein. Dasselbe gilt in Bezug auf die Anforderungen an die Einsprache gegen Veranlagungsverfügungen ( Art. 48 Abs. 1 StHG , Art. 132 Abs. 1 DBG ) sowie die Anfechtung einer Ermessensveranlagung ( Art. 48 Abs. 2 StHG , Art. 132 Abs. 3 DBG ). Damit kann vollumfänglich auf das zur direkten Bundessteuer Gesagte verwiesen werden ( BGE 135 II 195 E. 9 S. 207 f.). Die Beschwerde ist auch in Bezug auf die kantonalen Steuern abzuweisen.</w:t>
      </w:r>
    </w:p>
    <w:p>
      <w:r>
        <w:rPr>
          <w:b/>
        </w:rPr>
        <w:t>E. 5</w:t>
      </w:r>
    </w:p>
    <w:p>
      <w:r>
        <w:t>Bei diesem Verfahrensausgang haben die Beschwerdeführenden die Kosten des bundesgerichtlichen Verfahrens zu tragen; sie haften hierfür solidarisch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